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7E4F6" w14:textId="738A37E9" w:rsidR="00896A12" w:rsidRPr="00FC346C" w:rsidRDefault="00241B2F" w:rsidP="00352DD7">
      <w:pPr>
        <w:spacing w:after="0" w:line="360" w:lineRule="auto"/>
        <w:jc w:val="center"/>
        <w:rPr>
          <w:rFonts w:ascii="Times New Roman" w:hAnsi="Times New Roman" w:cs="Times New Roman"/>
          <w:b/>
          <w:bCs/>
          <w:sz w:val="23"/>
          <w:szCs w:val="23"/>
          <w:u w:val="single"/>
          <w:lang w:val="en-US"/>
        </w:rPr>
      </w:pPr>
      <w:r w:rsidRPr="00FC346C">
        <w:rPr>
          <w:rFonts w:ascii="Times New Roman" w:hAnsi="Times New Roman" w:cs="Times New Roman"/>
          <w:b/>
          <w:bCs/>
          <w:sz w:val="23"/>
          <w:szCs w:val="23"/>
          <w:u w:val="single"/>
          <w:lang w:val="en-US"/>
        </w:rPr>
        <w:t>Comments on</w:t>
      </w:r>
      <w:r w:rsidR="0042338B" w:rsidRPr="00FC346C">
        <w:rPr>
          <w:rFonts w:ascii="Times New Roman" w:hAnsi="Times New Roman" w:cs="Times New Roman"/>
          <w:b/>
          <w:bCs/>
          <w:sz w:val="23"/>
          <w:szCs w:val="23"/>
          <w:u w:val="single"/>
          <w:lang w:val="en-US"/>
        </w:rPr>
        <w:t xml:space="preserve"> the</w:t>
      </w:r>
      <w:r w:rsidRPr="00FC346C">
        <w:rPr>
          <w:rFonts w:ascii="Times New Roman" w:hAnsi="Times New Roman" w:cs="Times New Roman"/>
          <w:b/>
          <w:bCs/>
          <w:sz w:val="23"/>
          <w:szCs w:val="23"/>
          <w:u w:val="single"/>
          <w:lang w:val="en-US"/>
        </w:rPr>
        <w:t xml:space="preserve"> Draft CERC (Terms and Conditions of Tariff) Regulations, 2024</w:t>
      </w:r>
      <w:r w:rsidR="00DD6DF7" w:rsidRPr="00FC346C">
        <w:rPr>
          <w:rFonts w:ascii="Times New Roman" w:hAnsi="Times New Roman" w:cs="Times New Roman"/>
          <w:b/>
          <w:bCs/>
          <w:sz w:val="23"/>
          <w:szCs w:val="23"/>
          <w:u w:val="single"/>
          <w:lang w:val="en-US"/>
        </w:rPr>
        <w:t xml:space="preserve"> (Draft Regulations)</w:t>
      </w:r>
    </w:p>
    <w:p w14:paraId="296212A6" w14:textId="77777777" w:rsidR="00DD6DF7" w:rsidRPr="00FC346C" w:rsidRDefault="00DD6DF7" w:rsidP="00352DD7">
      <w:pPr>
        <w:pStyle w:val="ListParagraph"/>
        <w:spacing w:after="0" w:line="360" w:lineRule="auto"/>
        <w:ind w:left="426"/>
        <w:jc w:val="both"/>
        <w:rPr>
          <w:rFonts w:ascii="Times New Roman" w:hAnsi="Times New Roman" w:cs="Times New Roman"/>
          <w:sz w:val="23"/>
          <w:szCs w:val="23"/>
          <w:lang w:val="en-US"/>
        </w:rPr>
      </w:pPr>
    </w:p>
    <w:p w14:paraId="4655C29A" w14:textId="660E54C3" w:rsidR="00516CCE" w:rsidRPr="00FC346C" w:rsidRDefault="00FD37C0" w:rsidP="00352DD7">
      <w:pPr>
        <w:pStyle w:val="ListParagraph"/>
        <w:numPr>
          <w:ilvl w:val="0"/>
          <w:numId w:val="1"/>
        </w:numPr>
        <w:spacing w:after="0" w:line="360" w:lineRule="auto"/>
        <w:ind w:left="426" w:hanging="426"/>
        <w:jc w:val="both"/>
        <w:rPr>
          <w:rFonts w:ascii="Times New Roman" w:hAnsi="Times New Roman" w:cs="Times New Roman"/>
          <w:sz w:val="23"/>
          <w:szCs w:val="23"/>
          <w:lang w:val="en-US"/>
        </w:rPr>
      </w:pPr>
      <w:r w:rsidRPr="00FC346C">
        <w:rPr>
          <w:rFonts w:ascii="Times New Roman" w:hAnsi="Times New Roman" w:cs="Times New Roman"/>
          <w:sz w:val="23"/>
          <w:szCs w:val="23"/>
          <w:lang w:val="en-US"/>
        </w:rPr>
        <w:t>By way of a brief introduction, in my 39-year career in the power transmission and distribution sector, I've accumulated extensive hands-on experience in these areas. From leading EPC projects to navigating regulatory approvals and managing strategic business units, I've worked across the spectrum, including notable stints with</w:t>
      </w:r>
      <w:r w:rsidR="001E69E7" w:rsidRPr="00FC346C">
        <w:rPr>
          <w:rFonts w:ascii="Times New Roman" w:hAnsi="Times New Roman" w:cs="Times New Roman"/>
          <w:sz w:val="23"/>
          <w:szCs w:val="23"/>
          <w:lang w:val="en-US"/>
        </w:rPr>
        <w:t xml:space="preserve"> Power Grid Corporation of India Limited (</w:t>
      </w:r>
      <w:r w:rsidR="001E69E7" w:rsidRPr="00FC346C">
        <w:rPr>
          <w:rFonts w:ascii="Times New Roman" w:hAnsi="Times New Roman" w:cs="Times New Roman"/>
          <w:b/>
          <w:bCs/>
          <w:sz w:val="23"/>
          <w:szCs w:val="23"/>
          <w:lang w:val="en-US"/>
        </w:rPr>
        <w:t>PGCIL</w:t>
      </w:r>
      <w:r w:rsidR="001E69E7" w:rsidRPr="00FC346C">
        <w:rPr>
          <w:rFonts w:ascii="Times New Roman" w:hAnsi="Times New Roman" w:cs="Times New Roman"/>
          <w:sz w:val="23"/>
          <w:szCs w:val="23"/>
          <w:lang w:val="en-US"/>
        </w:rPr>
        <w:t>)</w:t>
      </w:r>
      <w:r w:rsidR="00AF1CAE" w:rsidRPr="00FC346C">
        <w:rPr>
          <w:rFonts w:ascii="Times New Roman" w:hAnsi="Times New Roman" w:cs="Times New Roman"/>
          <w:sz w:val="23"/>
          <w:szCs w:val="23"/>
          <w:lang w:val="en-US"/>
        </w:rPr>
        <w:t>,</w:t>
      </w:r>
      <w:r w:rsidRPr="00FC346C">
        <w:rPr>
          <w:rFonts w:ascii="Times New Roman" w:hAnsi="Times New Roman" w:cs="Times New Roman"/>
          <w:sz w:val="23"/>
          <w:szCs w:val="23"/>
          <w:lang w:val="en-US"/>
        </w:rPr>
        <w:t xml:space="preserve"> NTPC Limited, GMR Group and Arvensis Energy. I have been involved in successfully completing BOOM projects, </w:t>
      </w:r>
      <w:proofErr w:type="gramStart"/>
      <w:r w:rsidRPr="00FC346C">
        <w:rPr>
          <w:rFonts w:ascii="Times New Roman" w:hAnsi="Times New Roman" w:cs="Times New Roman"/>
          <w:sz w:val="23"/>
          <w:szCs w:val="23"/>
          <w:lang w:val="en-US"/>
        </w:rPr>
        <w:t>acquiring</w:t>
      </w:r>
      <w:proofErr w:type="gramEnd"/>
      <w:r w:rsidRPr="00FC346C">
        <w:rPr>
          <w:rFonts w:ascii="Times New Roman" w:hAnsi="Times New Roman" w:cs="Times New Roman"/>
          <w:sz w:val="23"/>
          <w:szCs w:val="23"/>
          <w:lang w:val="en-US"/>
        </w:rPr>
        <w:t xml:space="preserve"> and executing transmission projects incorporating HVDC and EHV AC technologies, and developing evacuation systems for IPPs.</w:t>
      </w:r>
      <w:r w:rsidR="00516CCE" w:rsidRPr="00FC346C">
        <w:rPr>
          <w:rFonts w:ascii="Times New Roman" w:hAnsi="Times New Roman" w:cs="Times New Roman"/>
          <w:sz w:val="23"/>
          <w:szCs w:val="23"/>
          <w:lang w:val="en-US"/>
        </w:rPr>
        <w:t xml:space="preserve"> </w:t>
      </w:r>
      <w:r w:rsidRPr="00FC346C">
        <w:rPr>
          <w:rFonts w:ascii="Times New Roman" w:hAnsi="Times New Roman" w:cs="Times New Roman"/>
          <w:sz w:val="23"/>
          <w:szCs w:val="23"/>
          <w:lang w:val="en-US"/>
        </w:rPr>
        <w:t xml:space="preserve">Throughout my tenure, I've been directly involved in project execution, regulatory compliance, and stakeholder management. For instance, I've overseen the establishment of tariff billing and collection frameworks, managed revenue streams, and resolved regulatory hurdles. </w:t>
      </w:r>
    </w:p>
    <w:p w14:paraId="6200B0DD" w14:textId="77777777" w:rsidR="009B23DA" w:rsidRPr="00FC346C" w:rsidRDefault="009B23DA" w:rsidP="00C93BD5">
      <w:pPr>
        <w:pStyle w:val="ListParagraph"/>
        <w:spacing w:after="0" w:line="360" w:lineRule="auto"/>
        <w:ind w:left="426"/>
        <w:jc w:val="both"/>
        <w:rPr>
          <w:rFonts w:ascii="Times New Roman" w:hAnsi="Times New Roman" w:cs="Times New Roman"/>
          <w:sz w:val="23"/>
          <w:szCs w:val="23"/>
          <w:lang w:val="en-US"/>
        </w:rPr>
      </w:pPr>
    </w:p>
    <w:p w14:paraId="347ED623" w14:textId="6D4615CD" w:rsidR="009B23DA" w:rsidRPr="00FC346C" w:rsidRDefault="009B23DA" w:rsidP="00352DD7">
      <w:pPr>
        <w:pStyle w:val="ListParagraph"/>
        <w:numPr>
          <w:ilvl w:val="0"/>
          <w:numId w:val="1"/>
        </w:numPr>
        <w:spacing w:after="0" w:line="360" w:lineRule="auto"/>
        <w:ind w:left="426" w:hanging="426"/>
        <w:jc w:val="both"/>
        <w:rPr>
          <w:rFonts w:ascii="Times New Roman" w:hAnsi="Times New Roman" w:cs="Times New Roman"/>
          <w:sz w:val="23"/>
          <w:szCs w:val="23"/>
          <w:lang w:val="en-US"/>
        </w:rPr>
      </w:pPr>
      <w:r w:rsidRPr="00FC346C">
        <w:rPr>
          <w:rFonts w:ascii="Times New Roman" w:hAnsi="Times New Roman" w:cs="Times New Roman"/>
          <w:sz w:val="23"/>
          <w:szCs w:val="23"/>
          <w:lang w:val="en-US"/>
        </w:rPr>
        <w:t>I am submitting the instant comments in the interest of the power sector at large</w:t>
      </w:r>
      <w:r w:rsidR="006C1ECA" w:rsidRPr="00FC346C">
        <w:rPr>
          <w:rFonts w:ascii="Times New Roman" w:hAnsi="Times New Roman" w:cs="Times New Roman"/>
          <w:sz w:val="23"/>
          <w:szCs w:val="23"/>
          <w:lang w:val="en-US"/>
        </w:rPr>
        <w:t xml:space="preserve"> and the inter-state transmission </w:t>
      </w:r>
      <w:proofErr w:type="gramStart"/>
      <w:r w:rsidR="006C1ECA" w:rsidRPr="00FC346C">
        <w:rPr>
          <w:rFonts w:ascii="Times New Roman" w:hAnsi="Times New Roman" w:cs="Times New Roman"/>
          <w:sz w:val="23"/>
          <w:szCs w:val="23"/>
          <w:lang w:val="en-US"/>
        </w:rPr>
        <w:t>sector in particular</w:t>
      </w:r>
      <w:proofErr w:type="gramEnd"/>
      <w:r w:rsidR="006C1ECA" w:rsidRPr="00FC346C">
        <w:rPr>
          <w:rFonts w:ascii="Times New Roman" w:hAnsi="Times New Roman" w:cs="Times New Roman"/>
          <w:sz w:val="23"/>
          <w:szCs w:val="23"/>
          <w:lang w:val="en-US"/>
        </w:rPr>
        <w:t>. I have focused the instant submissions primarily on the issue of the normative Return on Equity (</w:t>
      </w:r>
      <w:r w:rsidR="006C1ECA" w:rsidRPr="00FC346C">
        <w:rPr>
          <w:rFonts w:ascii="Times New Roman" w:hAnsi="Times New Roman" w:cs="Times New Roman"/>
          <w:b/>
          <w:bCs/>
          <w:sz w:val="23"/>
          <w:szCs w:val="23"/>
          <w:lang w:val="en-US"/>
        </w:rPr>
        <w:t>RoE</w:t>
      </w:r>
      <w:r w:rsidR="006C1ECA" w:rsidRPr="00FC346C">
        <w:rPr>
          <w:rFonts w:ascii="Times New Roman" w:hAnsi="Times New Roman" w:cs="Times New Roman"/>
          <w:sz w:val="23"/>
          <w:szCs w:val="23"/>
          <w:lang w:val="en-US"/>
        </w:rPr>
        <w:t xml:space="preserve">), which the Hon’ble Commission is proposing to </w:t>
      </w:r>
      <w:r w:rsidR="00925271" w:rsidRPr="00FC346C">
        <w:rPr>
          <w:rFonts w:ascii="Times New Roman" w:hAnsi="Times New Roman" w:cs="Times New Roman"/>
          <w:sz w:val="23"/>
          <w:szCs w:val="23"/>
          <w:lang w:val="en-US"/>
        </w:rPr>
        <w:t xml:space="preserve">fix for inter-state transmission projects. </w:t>
      </w:r>
      <w:r w:rsidR="006C1ECA" w:rsidRPr="00FC346C">
        <w:rPr>
          <w:rFonts w:ascii="Times New Roman" w:hAnsi="Times New Roman" w:cs="Times New Roman"/>
          <w:sz w:val="23"/>
          <w:szCs w:val="23"/>
          <w:lang w:val="en-US"/>
        </w:rPr>
        <w:t xml:space="preserve"> </w:t>
      </w:r>
    </w:p>
    <w:p w14:paraId="6D79A987" w14:textId="77777777" w:rsidR="00FD37C0" w:rsidRPr="00FC346C" w:rsidRDefault="00FD37C0" w:rsidP="00352DD7">
      <w:pPr>
        <w:pStyle w:val="ListParagraph"/>
        <w:spacing w:after="0" w:line="360" w:lineRule="auto"/>
        <w:ind w:left="426"/>
        <w:jc w:val="both"/>
        <w:rPr>
          <w:rFonts w:ascii="Times New Roman" w:hAnsi="Times New Roman" w:cs="Times New Roman"/>
          <w:sz w:val="23"/>
          <w:szCs w:val="23"/>
          <w:lang w:val="en-US"/>
        </w:rPr>
      </w:pPr>
    </w:p>
    <w:p w14:paraId="13796FEC" w14:textId="7AE3B62B" w:rsidR="004A46E8" w:rsidRPr="00FC346C" w:rsidRDefault="0037204D" w:rsidP="00352DD7">
      <w:pPr>
        <w:pStyle w:val="ListParagraph"/>
        <w:numPr>
          <w:ilvl w:val="0"/>
          <w:numId w:val="1"/>
        </w:numPr>
        <w:spacing w:after="0" w:line="360" w:lineRule="auto"/>
        <w:ind w:left="426" w:hanging="426"/>
        <w:jc w:val="both"/>
        <w:rPr>
          <w:rFonts w:ascii="Times New Roman" w:hAnsi="Times New Roman" w:cs="Times New Roman"/>
          <w:sz w:val="23"/>
          <w:szCs w:val="23"/>
          <w:lang w:val="en-US"/>
        </w:rPr>
      </w:pPr>
      <w:r w:rsidRPr="00FC346C">
        <w:rPr>
          <w:rFonts w:ascii="Times New Roman" w:hAnsi="Times New Roman" w:cs="Times New Roman"/>
          <w:sz w:val="23"/>
          <w:szCs w:val="23"/>
          <w:lang w:val="en-US"/>
        </w:rPr>
        <w:t>As per the National Tariff Policy, 2016 (</w:t>
      </w:r>
      <w:r w:rsidRPr="00FC346C">
        <w:rPr>
          <w:rFonts w:ascii="Times New Roman" w:hAnsi="Times New Roman" w:cs="Times New Roman"/>
          <w:b/>
          <w:bCs/>
          <w:sz w:val="23"/>
          <w:szCs w:val="23"/>
          <w:lang w:val="en-US"/>
        </w:rPr>
        <w:t>NTP</w:t>
      </w:r>
      <w:r w:rsidRPr="00FC346C">
        <w:rPr>
          <w:rFonts w:ascii="Times New Roman" w:hAnsi="Times New Roman" w:cs="Times New Roman"/>
          <w:sz w:val="23"/>
          <w:szCs w:val="23"/>
          <w:lang w:val="en-US"/>
        </w:rPr>
        <w:t>)</w:t>
      </w:r>
      <w:r w:rsidR="00031F31" w:rsidRPr="00FC346C">
        <w:rPr>
          <w:rFonts w:ascii="Times New Roman" w:hAnsi="Times New Roman" w:cs="Times New Roman"/>
          <w:sz w:val="23"/>
          <w:szCs w:val="23"/>
          <w:lang w:val="en-US"/>
        </w:rPr>
        <w:t>,</w:t>
      </w:r>
      <w:r w:rsidRPr="00FC346C">
        <w:rPr>
          <w:rFonts w:ascii="Times New Roman" w:hAnsi="Times New Roman" w:cs="Times New Roman"/>
          <w:sz w:val="23"/>
          <w:szCs w:val="23"/>
          <w:lang w:val="en-US"/>
        </w:rPr>
        <w:t xml:space="preserve"> the </w:t>
      </w:r>
      <w:r w:rsidR="00C93BD5" w:rsidRPr="00FC346C">
        <w:rPr>
          <w:rFonts w:ascii="Times New Roman" w:hAnsi="Times New Roman" w:cs="Times New Roman"/>
          <w:sz w:val="23"/>
          <w:szCs w:val="23"/>
          <w:lang w:val="en-US"/>
        </w:rPr>
        <w:t xml:space="preserve">Hon’ble </w:t>
      </w:r>
      <w:r w:rsidRPr="00FC346C">
        <w:rPr>
          <w:rFonts w:ascii="Times New Roman" w:hAnsi="Times New Roman" w:cs="Times New Roman"/>
          <w:sz w:val="23"/>
          <w:szCs w:val="23"/>
          <w:lang w:val="en-US"/>
        </w:rPr>
        <w:t>Central</w:t>
      </w:r>
      <w:r w:rsidR="002E3752" w:rsidRPr="00FC346C">
        <w:rPr>
          <w:rFonts w:ascii="Times New Roman" w:hAnsi="Times New Roman" w:cs="Times New Roman"/>
          <w:sz w:val="23"/>
          <w:szCs w:val="23"/>
          <w:lang w:val="en-US"/>
        </w:rPr>
        <w:t xml:space="preserve"> Electricity Regulatory</w:t>
      </w:r>
      <w:r w:rsidRPr="00FC346C">
        <w:rPr>
          <w:rFonts w:ascii="Times New Roman" w:hAnsi="Times New Roman" w:cs="Times New Roman"/>
          <w:sz w:val="23"/>
          <w:szCs w:val="23"/>
          <w:lang w:val="en-US"/>
        </w:rPr>
        <w:t xml:space="preserve"> Commission </w:t>
      </w:r>
      <w:r w:rsidR="002E3752" w:rsidRPr="00FC346C">
        <w:rPr>
          <w:rFonts w:ascii="Times New Roman" w:hAnsi="Times New Roman" w:cs="Times New Roman"/>
          <w:sz w:val="23"/>
          <w:szCs w:val="23"/>
          <w:lang w:val="en-US"/>
        </w:rPr>
        <w:t>(</w:t>
      </w:r>
      <w:r w:rsidR="00C93BD5" w:rsidRPr="00FC346C">
        <w:rPr>
          <w:rFonts w:ascii="Times New Roman" w:hAnsi="Times New Roman" w:cs="Times New Roman"/>
          <w:b/>
          <w:bCs/>
          <w:sz w:val="23"/>
          <w:szCs w:val="23"/>
          <w:lang w:val="en-US"/>
        </w:rPr>
        <w:t>the Hon’ble Commission</w:t>
      </w:r>
      <w:r w:rsidR="002E3752" w:rsidRPr="00FC346C">
        <w:rPr>
          <w:rFonts w:ascii="Times New Roman" w:hAnsi="Times New Roman" w:cs="Times New Roman"/>
          <w:sz w:val="23"/>
          <w:szCs w:val="23"/>
          <w:lang w:val="en-US"/>
        </w:rPr>
        <w:t xml:space="preserve">) </w:t>
      </w:r>
      <w:r w:rsidR="00CD542C" w:rsidRPr="00FC346C">
        <w:rPr>
          <w:rFonts w:ascii="Times New Roman" w:hAnsi="Times New Roman" w:cs="Times New Roman"/>
          <w:sz w:val="23"/>
          <w:szCs w:val="23"/>
          <w:lang w:val="en-US"/>
        </w:rPr>
        <w:t>is to notify</w:t>
      </w:r>
      <w:r w:rsidRPr="00FC346C">
        <w:rPr>
          <w:rFonts w:ascii="Times New Roman" w:hAnsi="Times New Roman" w:cs="Times New Roman"/>
          <w:sz w:val="23"/>
          <w:szCs w:val="23"/>
          <w:lang w:val="en-US"/>
        </w:rPr>
        <w:t xml:space="preserve"> the rate of </w:t>
      </w:r>
      <w:r w:rsidR="00C93BD5" w:rsidRPr="00FC346C">
        <w:rPr>
          <w:rFonts w:ascii="Times New Roman" w:hAnsi="Times New Roman" w:cs="Times New Roman"/>
          <w:sz w:val="23"/>
          <w:szCs w:val="23"/>
          <w:lang w:val="en-US"/>
        </w:rPr>
        <w:t>RoE</w:t>
      </w:r>
      <w:r w:rsidRPr="00FC346C">
        <w:rPr>
          <w:rFonts w:ascii="Times New Roman" w:hAnsi="Times New Roman" w:cs="Times New Roman"/>
          <w:sz w:val="23"/>
          <w:szCs w:val="23"/>
          <w:lang w:val="en-US"/>
        </w:rPr>
        <w:t xml:space="preserve"> for generation and transmission</w:t>
      </w:r>
      <w:r w:rsidR="00CD542C" w:rsidRPr="00FC346C">
        <w:rPr>
          <w:rFonts w:ascii="Times New Roman" w:hAnsi="Times New Roman" w:cs="Times New Roman"/>
          <w:sz w:val="23"/>
          <w:szCs w:val="23"/>
          <w:lang w:val="en-US"/>
        </w:rPr>
        <w:t xml:space="preserve"> </w:t>
      </w:r>
      <w:r w:rsidRPr="00FC346C">
        <w:rPr>
          <w:rFonts w:ascii="Times New Roman" w:hAnsi="Times New Roman" w:cs="Times New Roman"/>
          <w:sz w:val="23"/>
          <w:szCs w:val="23"/>
          <w:lang w:val="en-US"/>
        </w:rPr>
        <w:t xml:space="preserve">projects keeping in view the </w:t>
      </w:r>
      <w:r w:rsidR="00CD542C" w:rsidRPr="00FC346C">
        <w:rPr>
          <w:rFonts w:ascii="Times New Roman" w:hAnsi="Times New Roman" w:cs="Times New Roman"/>
          <w:sz w:val="23"/>
          <w:szCs w:val="23"/>
          <w:lang w:val="en-US"/>
        </w:rPr>
        <w:t>‘</w:t>
      </w:r>
      <w:r w:rsidRPr="00FC346C">
        <w:rPr>
          <w:rFonts w:ascii="Times New Roman" w:hAnsi="Times New Roman" w:cs="Times New Roman"/>
          <w:i/>
          <w:iCs/>
          <w:sz w:val="23"/>
          <w:szCs w:val="23"/>
          <w:lang w:val="en-US"/>
        </w:rPr>
        <w:t>assessment of overall risk and the prevalent cost of capital</w:t>
      </w:r>
      <w:r w:rsidR="00CD542C" w:rsidRPr="00FC346C">
        <w:rPr>
          <w:rFonts w:ascii="Times New Roman" w:hAnsi="Times New Roman" w:cs="Times New Roman"/>
          <w:sz w:val="23"/>
          <w:szCs w:val="23"/>
          <w:lang w:val="en-US"/>
        </w:rPr>
        <w:t>’</w:t>
      </w:r>
      <w:r w:rsidR="000129ED" w:rsidRPr="00FC346C">
        <w:rPr>
          <w:rFonts w:ascii="Times New Roman" w:hAnsi="Times New Roman" w:cs="Times New Roman"/>
          <w:sz w:val="23"/>
          <w:szCs w:val="23"/>
          <w:lang w:val="en-US"/>
        </w:rPr>
        <w:t>. The same</w:t>
      </w:r>
      <w:r w:rsidRPr="00FC346C">
        <w:rPr>
          <w:rFonts w:ascii="Times New Roman" w:hAnsi="Times New Roman" w:cs="Times New Roman"/>
          <w:sz w:val="23"/>
          <w:szCs w:val="23"/>
          <w:lang w:val="en-US"/>
        </w:rPr>
        <w:t xml:space="preserve"> shall be followed by the</w:t>
      </w:r>
      <w:r w:rsidR="00CD542C" w:rsidRPr="00FC346C">
        <w:rPr>
          <w:rFonts w:ascii="Times New Roman" w:hAnsi="Times New Roman" w:cs="Times New Roman"/>
          <w:sz w:val="23"/>
          <w:szCs w:val="23"/>
          <w:lang w:val="en-US"/>
        </w:rPr>
        <w:t xml:space="preserve"> State Electricity Regulatory Commissions</w:t>
      </w:r>
      <w:r w:rsidR="00C66377" w:rsidRPr="00FC346C">
        <w:rPr>
          <w:rFonts w:ascii="Times New Roman" w:hAnsi="Times New Roman" w:cs="Times New Roman"/>
          <w:sz w:val="23"/>
          <w:szCs w:val="23"/>
          <w:lang w:val="en-US"/>
        </w:rPr>
        <w:t xml:space="preserve"> (</w:t>
      </w:r>
      <w:r w:rsidR="00C66377" w:rsidRPr="00FC346C">
        <w:rPr>
          <w:rFonts w:ascii="Times New Roman" w:hAnsi="Times New Roman" w:cs="Times New Roman"/>
          <w:b/>
          <w:bCs/>
          <w:sz w:val="23"/>
          <w:szCs w:val="23"/>
          <w:lang w:val="en-US"/>
        </w:rPr>
        <w:t>SERCs</w:t>
      </w:r>
      <w:r w:rsidR="00C66377" w:rsidRPr="00FC346C">
        <w:rPr>
          <w:rFonts w:ascii="Times New Roman" w:hAnsi="Times New Roman" w:cs="Times New Roman"/>
          <w:sz w:val="23"/>
          <w:szCs w:val="23"/>
          <w:lang w:val="en-US"/>
        </w:rPr>
        <w:t>)</w:t>
      </w:r>
      <w:r w:rsidRPr="00FC346C">
        <w:rPr>
          <w:rFonts w:ascii="Times New Roman" w:hAnsi="Times New Roman" w:cs="Times New Roman"/>
          <w:sz w:val="23"/>
          <w:szCs w:val="23"/>
          <w:lang w:val="en-US"/>
        </w:rPr>
        <w:t xml:space="preserve"> as</w:t>
      </w:r>
      <w:r w:rsidR="00CD542C" w:rsidRPr="00FC346C">
        <w:rPr>
          <w:rFonts w:ascii="Times New Roman" w:hAnsi="Times New Roman" w:cs="Times New Roman"/>
          <w:sz w:val="23"/>
          <w:szCs w:val="23"/>
          <w:lang w:val="en-US"/>
        </w:rPr>
        <w:t xml:space="preserve"> well</w:t>
      </w:r>
      <w:r w:rsidRPr="00FC346C">
        <w:rPr>
          <w:rFonts w:ascii="Times New Roman" w:hAnsi="Times New Roman" w:cs="Times New Roman"/>
          <w:sz w:val="23"/>
          <w:szCs w:val="23"/>
          <w:lang w:val="en-US"/>
        </w:rPr>
        <w:t>.</w:t>
      </w:r>
      <w:r w:rsidR="000C0A65" w:rsidRPr="00FC346C">
        <w:rPr>
          <w:rStyle w:val="FootnoteReference"/>
          <w:rFonts w:ascii="Times New Roman" w:hAnsi="Times New Roman" w:cs="Times New Roman"/>
          <w:sz w:val="23"/>
          <w:szCs w:val="23"/>
          <w:lang w:val="en-US"/>
        </w:rPr>
        <w:footnoteReference w:id="1"/>
      </w:r>
      <w:r w:rsidR="004A46E8" w:rsidRPr="00FC346C">
        <w:rPr>
          <w:rFonts w:ascii="Times New Roman" w:hAnsi="Times New Roman" w:cs="Times New Roman"/>
          <w:sz w:val="23"/>
          <w:szCs w:val="23"/>
          <w:lang w:val="en-US"/>
        </w:rPr>
        <w:t xml:space="preserve"> Therefore, the RoE benchmark needs to be reviewed regularly as market dynamics evolve and regulatory paradigms mature.</w:t>
      </w:r>
    </w:p>
    <w:p w14:paraId="5F4569D5" w14:textId="77777777" w:rsidR="004A46E8" w:rsidRPr="00FC346C" w:rsidRDefault="004A46E8" w:rsidP="00352DD7">
      <w:pPr>
        <w:pStyle w:val="ListParagraph"/>
        <w:spacing w:after="0" w:line="360" w:lineRule="auto"/>
        <w:jc w:val="both"/>
        <w:rPr>
          <w:rFonts w:ascii="Times New Roman" w:hAnsi="Times New Roman" w:cs="Times New Roman"/>
          <w:sz w:val="23"/>
          <w:szCs w:val="23"/>
          <w:lang w:val="en-US"/>
        </w:rPr>
      </w:pPr>
    </w:p>
    <w:p w14:paraId="102DC320" w14:textId="0CD080EB" w:rsidR="00B779F2" w:rsidRPr="00FC346C" w:rsidRDefault="00B779F2" w:rsidP="00352DD7">
      <w:pPr>
        <w:pStyle w:val="ListParagraph"/>
        <w:numPr>
          <w:ilvl w:val="0"/>
          <w:numId w:val="1"/>
        </w:numPr>
        <w:spacing w:after="0" w:line="360" w:lineRule="auto"/>
        <w:ind w:left="426" w:hanging="426"/>
        <w:jc w:val="both"/>
        <w:rPr>
          <w:rFonts w:ascii="Times New Roman" w:hAnsi="Times New Roman" w:cs="Times New Roman"/>
          <w:sz w:val="23"/>
          <w:szCs w:val="23"/>
          <w:lang w:val="en-US"/>
        </w:rPr>
      </w:pPr>
      <w:r w:rsidRPr="00FC346C">
        <w:rPr>
          <w:rFonts w:ascii="Times New Roman" w:hAnsi="Times New Roman" w:cs="Times New Roman"/>
          <w:sz w:val="23"/>
          <w:szCs w:val="23"/>
        </w:rPr>
        <w:t>Based on a perusal of all past tariff regulations of th</w:t>
      </w:r>
      <w:r w:rsidR="00C93BD5" w:rsidRPr="00FC346C">
        <w:rPr>
          <w:rFonts w:ascii="Times New Roman" w:hAnsi="Times New Roman" w:cs="Times New Roman"/>
          <w:sz w:val="23"/>
          <w:szCs w:val="23"/>
        </w:rPr>
        <w:t>is Hon’ble Commission</w:t>
      </w:r>
      <w:r w:rsidRPr="00FC346C">
        <w:rPr>
          <w:rFonts w:ascii="Times New Roman" w:hAnsi="Times New Roman" w:cs="Times New Roman"/>
          <w:sz w:val="23"/>
          <w:szCs w:val="23"/>
        </w:rPr>
        <w:t xml:space="preserve"> since 2001, the following conclusions can be drawn:</w:t>
      </w:r>
    </w:p>
    <w:p w14:paraId="46A35DF8" w14:textId="77777777" w:rsidR="00B779F2" w:rsidRPr="00FC346C" w:rsidRDefault="00B779F2" w:rsidP="00352DD7">
      <w:pPr>
        <w:pStyle w:val="ListParagraph"/>
        <w:spacing w:after="0" w:line="360" w:lineRule="auto"/>
        <w:ind w:left="786"/>
        <w:jc w:val="both"/>
        <w:rPr>
          <w:rFonts w:ascii="Times New Roman" w:hAnsi="Times New Roman" w:cs="Times New Roman"/>
          <w:sz w:val="23"/>
          <w:szCs w:val="23"/>
        </w:rPr>
      </w:pPr>
    </w:p>
    <w:p w14:paraId="0458C78B" w14:textId="05DF18EA" w:rsidR="00B779F2" w:rsidRPr="00FC346C" w:rsidRDefault="00B779F2" w:rsidP="00352DD7">
      <w:pPr>
        <w:pStyle w:val="ListParagraph"/>
        <w:numPr>
          <w:ilvl w:val="1"/>
          <w:numId w:val="1"/>
        </w:numPr>
        <w:spacing w:after="0" w:line="360" w:lineRule="auto"/>
        <w:jc w:val="both"/>
        <w:rPr>
          <w:rFonts w:ascii="Times New Roman" w:hAnsi="Times New Roman" w:cs="Times New Roman"/>
          <w:sz w:val="23"/>
          <w:szCs w:val="23"/>
        </w:rPr>
      </w:pPr>
      <w:r w:rsidRPr="00FC346C">
        <w:rPr>
          <w:rFonts w:ascii="Times New Roman" w:hAnsi="Times New Roman" w:cs="Times New Roman"/>
          <w:sz w:val="23"/>
          <w:szCs w:val="23"/>
          <w:lang w:val="en-US"/>
        </w:rPr>
        <w:t>Equity</w:t>
      </w:r>
      <w:r w:rsidRPr="00FC346C">
        <w:rPr>
          <w:rFonts w:ascii="Times New Roman" w:hAnsi="Times New Roman" w:cs="Times New Roman"/>
          <w:sz w:val="23"/>
          <w:szCs w:val="23"/>
        </w:rPr>
        <w:t xml:space="preserve"> is a risk </w:t>
      </w:r>
      <w:proofErr w:type="gramStart"/>
      <w:r w:rsidRPr="00FC346C">
        <w:rPr>
          <w:rFonts w:ascii="Times New Roman" w:hAnsi="Times New Roman" w:cs="Times New Roman"/>
          <w:sz w:val="23"/>
          <w:szCs w:val="23"/>
        </w:rPr>
        <w:t>capital</w:t>
      </w:r>
      <w:proofErr w:type="gramEnd"/>
      <w:r w:rsidRPr="00FC346C">
        <w:rPr>
          <w:rFonts w:ascii="Times New Roman" w:hAnsi="Times New Roman" w:cs="Times New Roman"/>
          <w:sz w:val="23"/>
          <w:szCs w:val="23"/>
        </w:rPr>
        <w:t xml:space="preserve"> and the rate of </w:t>
      </w:r>
      <w:r w:rsidR="007907C9" w:rsidRPr="00FC346C">
        <w:rPr>
          <w:rFonts w:ascii="Times New Roman" w:hAnsi="Times New Roman" w:cs="Times New Roman"/>
          <w:sz w:val="23"/>
          <w:szCs w:val="23"/>
        </w:rPr>
        <w:t>RoE</w:t>
      </w:r>
      <w:r w:rsidRPr="00FC346C">
        <w:rPr>
          <w:rFonts w:ascii="Times New Roman" w:hAnsi="Times New Roman" w:cs="Times New Roman"/>
          <w:sz w:val="23"/>
          <w:szCs w:val="23"/>
        </w:rPr>
        <w:t xml:space="preserve"> needs to be commensurate to the risk of investment in the project. Higher the risk of a type of project, higher should be the rate of return. </w:t>
      </w:r>
    </w:p>
    <w:p w14:paraId="5CEBC7CE" w14:textId="77777777" w:rsidR="00B779F2" w:rsidRPr="00FC346C" w:rsidRDefault="00B779F2" w:rsidP="00352DD7">
      <w:pPr>
        <w:pStyle w:val="ListParagraph"/>
        <w:spacing w:after="0" w:line="360" w:lineRule="auto"/>
        <w:ind w:left="786"/>
        <w:jc w:val="both"/>
        <w:rPr>
          <w:rFonts w:ascii="Times New Roman" w:hAnsi="Times New Roman" w:cs="Times New Roman"/>
          <w:sz w:val="23"/>
          <w:szCs w:val="23"/>
        </w:rPr>
      </w:pPr>
    </w:p>
    <w:p w14:paraId="5C5D1F66" w14:textId="77777777" w:rsidR="00B779F2" w:rsidRPr="00FC346C" w:rsidRDefault="00B779F2" w:rsidP="00352DD7">
      <w:pPr>
        <w:pStyle w:val="ListParagraph"/>
        <w:numPr>
          <w:ilvl w:val="1"/>
          <w:numId w:val="1"/>
        </w:numPr>
        <w:spacing w:after="0" w:line="360" w:lineRule="auto"/>
        <w:jc w:val="both"/>
        <w:rPr>
          <w:rFonts w:ascii="Times New Roman" w:hAnsi="Times New Roman" w:cs="Times New Roman"/>
          <w:sz w:val="23"/>
          <w:szCs w:val="23"/>
        </w:rPr>
      </w:pPr>
      <w:r w:rsidRPr="00FC346C">
        <w:rPr>
          <w:rFonts w:ascii="Times New Roman" w:hAnsi="Times New Roman" w:cs="Times New Roman"/>
          <w:sz w:val="23"/>
          <w:szCs w:val="23"/>
        </w:rPr>
        <w:lastRenderedPageBreak/>
        <w:t>As the debt market is not stable in India, linking the rate of RoE to a benchmark interest rate with a mark-up is difficult.</w:t>
      </w:r>
    </w:p>
    <w:p w14:paraId="7B8A65AA" w14:textId="77777777" w:rsidR="00B779F2" w:rsidRPr="00FC346C" w:rsidRDefault="00B779F2" w:rsidP="00352DD7">
      <w:pPr>
        <w:pStyle w:val="ListParagraph"/>
        <w:spacing w:after="0" w:line="360" w:lineRule="auto"/>
        <w:ind w:left="786"/>
        <w:jc w:val="both"/>
        <w:rPr>
          <w:rFonts w:ascii="Times New Roman" w:hAnsi="Times New Roman" w:cs="Times New Roman"/>
          <w:sz w:val="23"/>
          <w:szCs w:val="23"/>
        </w:rPr>
      </w:pPr>
    </w:p>
    <w:p w14:paraId="076B3441" w14:textId="1474F04E" w:rsidR="00B779F2" w:rsidRPr="00FC346C" w:rsidRDefault="00B779F2" w:rsidP="00352DD7">
      <w:pPr>
        <w:pStyle w:val="ListParagraph"/>
        <w:numPr>
          <w:ilvl w:val="1"/>
          <w:numId w:val="1"/>
        </w:numPr>
        <w:spacing w:after="0" w:line="360" w:lineRule="auto"/>
        <w:jc w:val="both"/>
        <w:rPr>
          <w:rFonts w:ascii="Times New Roman" w:hAnsi="Times New Roman" w:cs="Times New Roman"/>
          <w:sz w:val="23"/>
          <w:szCs w:val="23"/>
        </w:rPr>
      </w:pPr>
      <w:r w:rsidRPr="00FC346C">
        <w:rPr>
          <w:rFonts w:ascii="Times New Roman" w:hAnsi="Times New Roman" w:cs="Times New Roman"/>
          <w:sz w:val="23"/>
          <w:szCs w:val="23"/>
          <w:lang w:val="en-US"/>
        </w:rPr>
        <w:t>Capital Asset Pricing Model (</w:t>
      </w:r>
      <w:r w:rsidRPr="00FC346C">
        <w:rPr>
          <w:rFonts w:ascii="Times New Roman" w:hAnsi="Times New Roman" w:cs="Times New Roman"/>
          <w:b/>
          <w:bCs/>
          <w:sz w:val="23"/>
          <w:szCs w:val="23"/>
          <w:lang w:val="en-US"/>
        </w:rPr>
        <w:t>CAPM</w:t>
      </w:r>
      <w:r w:rsidRPr="00FC346C">
        <w:rPr>
          <w:rFonts w:ascii="Times New Roman" w:hAnsi="Times New Roman" w:cs="Times New Roman"/>
          <w:sz w:val="23"/>
          <w:szCs w:val="23"/>
          <w:lang w:val="en-US"/>
        </w:rPr>
        <w:t xml:space="preserve">) </w:t>
      </w:r>
      <w:r w:rsidRPr="00FC346C">
        <w:rPr>
          <w:rFonts w:ascii="Times New Roman" w:hAnsi="Times New Roman" w:cs="Times New Roman"/>
          <w:sz w:val="23"/>
          <w:szCs w:val="23"/>
        </w:rPr>
        <w:t xml:space="preserve">has been the best scientific model to compute cost of equity and is a method to give an approximate rate of RoE for various regulated projects. Accordingly, this model has been continuously adopted for specifying norms on RoE by </w:t>
      </w:r>
      <w:r w:rsidR="00C93BD5" w:rsidRPr="00FC346C">
        <w:rPr>
          <w:rFonts w:ascii="Times New Roman" w:hAnsi="Times New Roman" w:cs="Times New Roman"/>
          <w:sz w:val="23"/>
          <w:szCs w:val="23"/>
        </w:rPr>
        <w:t xml:space="preserve">this Hon’ble Commission </w:t>
      </w:r>
      <w:r w:rsidRPr="00FC346C">
        <w:rPr>
          <w:rFonts w:ascii="Times New Roman" w:hAnsi="Times New Roman" w:cs="Times New Roman"/>
          <w:sz w:val="23"/>
          <w:szCs w:val="23"/>
        </w:rPr>
        <w:t xml:space="preserve">in the tariff regulations for the last three control period, i.e., since 2014. </w:t>
      </w:r>
    </w:p>
    <w:p w14:paraId="4739D1AD" w14:textId="77777777" w:rsidR="00B779F2" w:rsidRPr="00FC346C" w:rsidRDefault="00B779F2" w:rsidP="00352DD7">
      <w:pPr>
        <w:pStyle w:val="ListParagraph"/>
        <w:spacing w:after="0" w:line="360" w:lineRule="auto"/>
        <w:rPr>
          <w:rFonts w:ascii="Times New Roman" w:hAnsi="Times New Roman" w:cs="Times New Roman"/>
          <w:sz w:val="23"/>
          <w:szCs w:val="23"/>
          <w:lang w:val="en-US"/>
        </w:rPr>
      </w:pPr>
    </w:p>
    <w:p w14:paraId="55A54551" w14:textId="3E137807" w:rsidR="00AE7E0B" w:rsidRPr="00FC346C" w:rsidRDefault="00DD6DF7" w:rsidP="00352DD7">
      <w:pPr>
        <w:pStyle w:val="ListParagraph"/>
        <w:numPr>
          <w:ilvl w:val="0"/>
          <w:numId w:val="1"/>
        </w:numPr>
        <w:spacing w:after="0" w:line="360" w:lineRule="auto"/>
        <w:ind w:left="426" w:hanging="426"/>
        <w:jc w:val="both"/>
        <w:rPr>
          <w:rFonts w:ascii="Times New Roman" w:hAnsi="Times New Roman" w:cs="Times New Roman"/>
          <w:sz w:val="23"/>
          <w:szCs w:val="23"/>
          <w:lang w:val="en-US"/>
        </w:rPr>
      </w:pPr>
      <w:r w:rsidRPr="00FC346C">
        <w:rPr>
          <w:rFonts w:ascii="Times New Roman" w:hAnsi="Times New Roman" w:cs="Times New Roman"/>
          <w:sz w:val="23"/>
          <w:szCs w:val="23"/>
          <w:lang w:val="en-US"/>
        </w:rPr>
        <w:t xml:space="preserve">In my view, the RoE specified under </w:t>
      </w:r>
      <w:r w:rsidR="00C6108D" w:rsidRPr="00FC346C">
        <w:rPr>
          <w:rFonts w:ascii="Times New Roman" w:hAnsi="Times New Roman" w:cs="Times New Roman"/>
          <w:sz w:val="23"/>
          <w:szCs w:val="23"/>
          <w:lang w:val="en-US"/>
        </w:rPr>
        <w:t>Clause</w:t>
      </w:r>
      <w:r w:rsidRPr="00FC346C">
        <w:rPr>
          <w:rFonts w:ascii="Times New Roman" w:hAnsi="Times New Roman" w:cs="Times New Roman"/>
          <w:sz w:val="23"/>
          <w:szCs w:val="23"/>
          <w:lang w:val="en-US"/>
        </w:rPr>
        <w:t xml:space="preserve"> </w:t>
      </w:r>
      <w:r w:rsidR="0062253C" w:rsidRPr="00FC346C">
        <w:rPr>
          <w:rFonts w:ascii="Times New Roman" w:hAnsi="Times New Roman" w:cs="Times New Roman"/>
          <w:sz w:val="23"/>
          <w:szCs w:val="23"/>
          <w:lang w:val="en-US"/>
        </w:rPr>
        <w:t>30</w:t>
      </w:r>
      <w:r w:rsidRPr="00FC346C">
        <w:rPr>
          <w:rFonts w:ascii="Times New Roman" w:hAnsi="Times New Roman" w:cs="Times New Roman"/>
          <w:sz w:val="23"/>
          <w:szCs w:val="23"/>
          <w:lang w:val="en-US"/>
        </w:rPr>
        <w:t xml:space="preserve"> of the Draft Regulations</w:t>
      </w:r>
      <w:r w:rsidR="0062253C" w:rsidRPr="00FC346C">
        <w:rPr>
          <w:rFonts w:ascii="Times New Roman" w:hAnsi="Times New Roman" w:cs="Times New Roman"/>
          <w:sz w:val="23"/>
          <w:szCs w:val="23"/>
          <w:lang w:val="en-US"/>
        </w:rPr>
        <w:t xml:space="preserve"> for existing (15.5%) and new (15%) transmission projects</w:t>
      </w:r>
      <w:r w:rsidRPr="00FC346C">
        <w:rPr>
          <w:rFonts w:ascii="Times New Roman" w:hAnsi="Times New Roman" w:cs="Times New Roman"/>
          <w:sz w:val="23"/>
          <w:szCs w:val="23"/>
          <w:lang w:val="en-US"/>
        </w:rPr>
        <w:t xml:space="preserve"> </w:t>
      </w:r>
      <w:r w:rsidR="0062253C" w:rsidRPr="00FC346C">
        <w:rPr>
          <w:rFonts w:ascii="Times New Roman" w:hAnsi="Times New Roman" w:cs="Times New Roman"/>
          <w:sz w:val="23"/>
          <w:szCs w:val="23"/>
          <w:lang w:val="en-US"/>
        </w:rPr>
        <w:t xml:space="preserve">is </w:t>
      </w:r>
      <w:r w:rsidR="00C1277E" w:rsidRPr="00FC346C">
        <w:rPr>
          <w:rFonts w:ascii="Times New Roman" w:hAnsi="Times New Roman" w:cs="Times New Roman"/>
          <w:sz w:val="23"/>
          <w:szCs w:val="23"/>
          <w:lang w:val="en-US"/>
        </w:rPr>
        <w:t xml:space="preserve">very </w:t>
      </w:r>
      <w:r w:rsidR="0062253C" w:rsidRPr="00FC346C">
        <w:rPr>
          <w:rFonts w:ascii="Times New Roman" w:hAnsi="Times New Roman" w:cs="Times New Roman"/>
          <w:sz w:val="23"/>
          <w:szCs w:val="23"/>
          <w:lang w:val="en-US"/>
        </w:rPr>
        <w:t xml:space="preserve">high </w:t>
      </w:r>
      <w:r w:rsidR="005D5A10" w:rsidRPr="00FC346C">
        <w:rPr>
          <w:rFonts w:ascii="Times New Roman" w:hAnsi="Times New Roman" w:cs="Times New Roman"/>
          <w:sz w:val="23"/>
          <w:szCs w:val="23"/>
          <w:lang w:val="en-US"/>
        </w:rPr>
        <w:t xml:space="preserve">and not in tune with the </w:t>
      </w:r>
      <w:r w:rsidR="00386BC1" w:rsidRPr="00FC346C">
        <w:rPr>
          <w:rFonts w:ascii="Times New Roman" w:hAnsi="Times New Roman" w:cs="Times New Roman"/>
          <w:sz w:val="23"/>
          <w:szCs w:val="23"/>
          <w:lang w:val="en-US"/>
        </w:rPr>
        <w:t>present</w:t>
      </w:r>
      <w:r w:rsidR="005D5A10" w:rsidRPr="00FC346C">
        <w:rPr>
          <w:rFonts w:ascii="Times New Roman" w:hAnsi="Times New Roman" w:cs="Times New Roman"/>
          <w:sz w:val="23"/>
          <w:szCs w:val="23"/>
          <w:lang w:val="en-US"/>
        </w:rPr>
        <w:t xml:space="preserve"> risk</w:t>
      </w:r>
      <w:r w:rsidR="00386BC1" w:rsidRPr="00FC346C">
        <w:rPr>
          <w:rFonts w:ascii="Times New Roman" w:hAnsi="Times New Roman" w:cs="Times New Roman"/>
          <w:sz w:val="23"/>
          <w:szCs w:val="23"/>
          <w:lang w:val="en-US"/>
        </w:rPr>
        <w:t>s involved</w:t>
      </w:r>
      <w:r w:rsidR="005D5A10" w:rsidRPr="00FC346C">
        <w:rPr>
          <w:rFonts w:ascii="Times New Roman" w:hAnsi="Times New Roman" w:cs="Times New Roman"/>
          <w:sz w:val="23"/>
          <w:szCs w:val="23"/>
          <w:lang w:val="en-US"/>
        </w:rPr>
        <w:t xml:space="preserve"> in the inter-state transmission </w:t>
      </w:r>
      <w:r w:rsidR="0047012C" w:rsidRPr="00FC346C">
        <w:rPr>
          <w:rFonts w:ascii="Times New Roman" w:hAnsi="Times New Roman" w:cs="Times New Roman"/>
          <w:sz w:val="23"/>
          <w:szCs w:val="23"/>
          <w:lang w:val="en-US"/>
        </w:rPr>
        <w:t>business</w:t>
      </w:r>
      <w:r w:rsidR="005D5A10" w:rsidRPr="00FC346C">
        <w:rPr>
          <w:rFonts w:ascii="Times New Roman" w:hAnsi="Times New Roman" w:cs="Times New Roman"/>
          <w:sz w:val="23"/>
          <w:szCs w:val="23"/>
          <w:lang w:val="en-US"/>
        </w:rPr>
        <w:t>.</w:t>
      </w:r>
      <w:r w:rsidR="00386BC1" w:rsidRPr="00FC346C">
        <w:rPr>
          <w:rFonts w:ascii="Times New Roman" w:hAnsi="Times New Roman" w:cs="Times New Roman"/>
          <w:sz w:val="23"/>
          <w:szCs w:val="23"/>
          <w:lang w:val="en-US"/>
        </w:rPr>
        <w:t xml:space="preserve"> </w:t>
      </w:r>
      <w:r w:rsidR="00C1277E" w:rsidRPr="00FC346C">
        <w:rPr>
          <w:rFonts w:ascii="Times New Roman" w:hAnsi="Times New Roman" w:cs="Times New Roman"/>
          <w:sz w:val="23"/>
          <w:szCs w:val="23"/>
          <w:lang w:val="en-US"/>
        </w:rPr>
        <w:t>T</w:t>
      </w:r>
      <w:r w:rsidR="00386BC1" w:rsidRPr="00FC346C">
        <w:rPr>
          <w:rFonts w:ascii="Times New Roman" w:hAnsi="Times New Roman" w:cs="Times New Roman"/>
          <w:sz w:val="23"/>
          <w:szCs w:val="23"/>
          <w:lang w:val="en-US"/>
        </w:rPr>
        <w:t>he risk profile in the inter-state transmission sector is quite low.</w:t>
      </w:r>
      <w:r w:rsidR="00D64E25" w:rsidRPr="00FC346C">
        <w:rPr>
          <w:rFonts w:ascii="Times New Roman" w:hAnsi="Times New Roman" w:cs="Times New Roman"/>
          <w:sz w:val="23"/>
          <w:szCs w:val="23"/>
          <w:lang w:val="en-US"/>
        </w:rPr>
        <w:t xml:space="preserve"> </w:t>
      </w:r>
      <w:r w:rsidR="0047012C" w:rsidRPr="00FC346C">
        <w:rPr>
          <w:rFonts w:ascii="Times New Roman" w:hAnsi="Times New Roman" w:cs="Times New Roman"/>
          <w:sz w:val="23"/>
          <w:szCs w:val="23"/>
          <w:lang w:val="en-US"/>
        </w:rPr>
        <w:t>In this regard, t</w:t>
      </w:r>
      <w:r w:rsidR="00D64E25" w:rsidRPr="00FC346C">
        <w:rPr>
          <w:rFonts w:ascii="Times New Roman" w:hAnsi="Times New Roman" w:cs="Times New Roman"/>
          <w:sz w:val="23"/>
          <w:szCs w:val="23"/>
          <w:lang w:val="en-US"/>
        </w:rPr>
        <w:t>he Forum of Regulators</w:t>
      </w:r>
      <w:r w:rsidR="00AE7E0B" w:rsidRPr="00FC346C">
        <w:rPr>
          <w:rFonts w:ascii="Times New Roman" w:hAnsi="Times New Roman" w:cs="Times New Roman"/>
          <w:sz w:val="23"/>
          <w:szCs w:val="23"/>
          <w:lang w:val="en-US"/>
        </w:rPr>
        <w:t>’</w:t>
      </w:r>
      <w:r w:rsidR="001B5829" w:rsidRPr="00FC346C">
        <w:rPr>
          <w:rFonts w:ascii="Times New Roman" w:hAnsi="Times New Roman" w:cs="Times New Roman"/>
          <w:sz w:val="23"/>
          <w:szCs w:val="23"/>
          <w:lang w:val="en-US"/>
        </w:rPr>
        <w:t xml:space="preserve"> (</w:t>
      </w:r>
      <w:proofErr w:type="spellStart"/>
      <w:r w:rsidR="001B5829" w:rsidRPr="00FC346C">
        <w:rPr>
          <w:rFonts w:ascii="Times New Roman" w:hAnsi="Times New Roman" w:cs="Times New Roman"/>
          <w:b/>
          <w:bCs/>
          <w:sz w:val="23"/>
          <w:szCs w:val="23"/>
          <w:lang w:val="en-US"/>
        </w:rPr>
        <w:t>FoR</w:t>
      </w:r>
      <w:proofErr w:type="spellEnd"/>
      <w:r w:rsidR="001B5829" w:rsidRPr="00FC346C">
        <w:rPr>
          <w:rFonts w:ascii="Times New Roman" w:hAnsi="Times New Roman" w:cs="Times New Roman"/>
          <w:sz w:val="23"/>
          <w:szCs w:val="23"/>
          <w:lang w:val="en-US"/>
        </w:rPr>
        <w:t>)</w:t>
      </w:r>
      <w:r w:rsidR="00AE7E0B" w:rsidRPr="00FC346C">
        <w:rPr>
          <w:rFonts w:ascii="Times New Roman" w:hAnsi="Times New Roman" w:cs="Times New Roman"/>
          <w:sz w:val="23"/>
          <w:szCs w:val="23"/>
          <w:lang w:val="en-US"/>
        </w:rPr>
        <w:t xml:space="preserve"> report</w:t>
      </w:r>
      <w:r w:rsidR="00615997" w:rsidRPr="00FC346C">
        <w:rPr>
          <w:rFonts w:ascii="Times New Roman" w:hAnsi="Times New Roman" w:cs="Times New Roman"/>
          <w:sz w:val="23"/>
          <w:szCs w:val="23"/>
          <w:lang w:val="en-US"/>
        </w:rPr>
        <w:t xml:space="preserve"> issued in </w:t>
      </w:r>
      <w:proofErr w:type="gramStart"/>
      <w:r w:rsidR="00615997" w:rsidRPr="00FC346C">
        <w:rPr>
          <w:rFonts w:ascii="Times New Roman" w:hAnsi="Times New Roman" w:cs="Times New Roman"/>
          <w:sz w:val="23"/>
          <w:szCs w:val="23"/>
          <w:lang w:val="en-US"/>
        </w:rPr>
        <w:t>April,</w:t>
      </w:r>
      <w:proofErr w:type="gramEnd"/>
      <w:r w:rsidR="00615997" w:rsidRPr="00FC346C">
        <w:rPr>
          <w:rFonts w:ascii="Times New Roman" w:hAnsi="Times New Roman" w:cs="Times New Roman"/>
          <w:sz w:val="23"/>
          <w:szCs w:val="23"/>
          <w:lang w:val="en-US"/>
        </w:rPr>
        <w:t xml:space="preserve"> 2021</w:t>
      </w:r>
      <w:r w:rsidR="001B5829" w:rsidRPr="00FC346C">
        <w:rPr>
          <w:rFonts w:ascii="Times New Roman" w:hAnsi="Times New Roman" w:cs="Times New Roman"/>
          <w:sz w:val="23"/>
          <w:szCs w:val="23"/>
          <w:lang w:val="en-US"/>
        </w:rPr>
        <w:t xml:space="preserve"> (</w:t>
      </w:r>
      <w:proofErr w:type="spellStart"/>
      <w:r w:rsidR="001B5829" w:rsidRPr="00FC346C">
        <w:rPr>
          <w:rFonts w:ascii="Times New Roman" w:hAnsi="Times New Roman" w:cs="Times New Roman"/>
          <w:b/>
          <w:bCs/>
          <w:sz w:val="23"/>
          <w:szCs w:val="23"/>
          <w:lang w:val="en-US"/>
        </w:rPr>
        <w:t>FoR</w:t>
      </w:r>
      <w:proofErr w:type="spellEnd"/>
      <w:r w:rsidR="001B5829" w:rsidRPr="00FC346C">
        <w:rPr>
          <w:rFonts w:ascii="Times New Roman" w:hAnsi="Times New Roman" w:cs="Times New Roman"/>
          <w:b/>
          <w:bCs/>
          <w:sz w:val="23"/>
          <w:szCs w:val="23"/>
          <w:lang w:val="en-US"/>
        </w:rPr>
        <w:t xml:space="preserve"> Report</w:t>
      </w:r>
      <w:r w:rsidR="001B5829" w:rsidRPr="00FC346C">
        <w:rPr>
          <w:rFonts w:ascii="Times New Roman" w:hAnsi="Times New Roman" w:cs="Times New Roman"/>
          <w:sz w:val="23"/>
          <w:szCs w:val="23"/>
          <w:lang w:val="en-US"/>
        </w:rPr>
        <w:t>)</w:t>
      </w:r>
      <w:r w:rsidR="00AE7E0B" w:rsidRPr="00FC346C">
        <w:rPr>
          <w:rFonts w:ascii="Times New Roman" w:hAnsi="Times New Roman" w:cs="Times New Roman"/>
          <w:sz w:val="23"/>
          <w:szCs w:val="23"/>
          <w:lang w:val="en-US"/>
        </w:rPr>
        <w:t xml:space="preserve"> also states that </w:t>
      </w:r>
      <w:r w:rsidR="0042338B" w:rsidRPr="00FC346C">
        <w:rPr>
          <w:rFonts w:ascii="Times New Roman" w:hAnsi="Times New Roman" w:cs="Times New Roman"/>
          <w:sz w:val="23"/>
          <w:szCs w:val="23"/>
          <w:lang w:val="en-US"/>
        </w:rPr>
        <w:t>in</w:t>
      </w:r>
      <w:r w:rsidR="00AE7E0B" w:rsidRPr="00FC346C">
        <w:rPr>
          <w:rFonts w:ascii="Times New Roman" w:hAnsi="Times New Roman" w:cs="Times New Roman"/>
          <w:kern w:val="0"/>
          <w:sz w:val="23"/>
          <w:szCs w:val="23"/>
        </w:rPr>
        <w:t xml:space="preserve"> the entire value chain</w:t>
      </w:r>
      <w:r w:rsidR="00BC2484" w:rsidRPr="00FC346C">
        <w:rPr>
          <w:rFonts w:ascii="Times New Roman" w:hAnsi="Times New Roman" w:cs="Times New Roman"/>
          <w:kern w:val="0"/>
          <w:sz w:val="23"/>
          <w:szCs w:val="23"/>
        </w:rPr>
        <w:t xml:space="preserve"> of the electricity sector</w:t>
      </w:r>
      <w:r w:rsidR="00AE7E0B" w:rsidRPr="00FC346C">
        <w:rPr>
          <w:rFonts w:ascii="Times New Roman" w:hAnsi="Times New Roman" w:cs="Times New Roman"/>
          <w:kern w:val="0"/>
          <w:sz w:val="23"/>
          <w:szCs w:val="23"/>
        </w:rPr>
        <w:t>, transmission business has the lowest risk.</w:t>
      </w:r>
      <w:r w:rsidR="00AE7E0B" w:rsidRPr="00FC346C">
        <w:rPr>
          <w:rStyle w:val="FootnoteReference"/>
          <w:rFonts w:ascii="Times New Roman" w:hAnsi="Times New Roman" w:cs="Times New Roman"/>
          <w:kern w:val="0"/>
          <w:sz w:val="23"/>
          <w:szCs w:val="23"/>
        </w:rPr>
        <w:footnoteReference w:id="2"/>
      </w:r>
      <w:r w:rsidR="00AE7E0B" w:rsidRPr="00FC346C">
        <w:rPr>
          <w:rFonts w:ascii="Times New Roman" w:hAnsi="Times New Roman" w:cs="Times New Roman"/>
          <w:kern w:val="0"/>
          <w:sz w:val="23"/>
          <w:szCs w:val="23"/>
        </w:rPr>
        <w:t xml:space="preserve"> </w:t>
      </w:r>
      <w:r w:rsidR="007E69FE" w:rsidRPr="00FC346C">
        <w:rPr>
          <w:rFonts w:ascii="Times New Roman" w:hAnsi="Times New Roman" w:cs="Times New Roman"/>
          <w:kern w:val="0"/>
          <w:sz w:val="23"/>
          <w:szCs w:val="23"/>
        </w:rPr>
        <w:t>On this basis</w:t>
      </w:r>
      <w:r w:rsidR="00AE7E0B" w:rsidRPr="00FC346C">
        <w:rPr>
          <w:rFonts w:ascii="Times New Roman" w:hAnsi="Times New Roman" w:cs="Times New Roman"/>
          <w:kern w:val="0"/>
          <w:sz w:val="23"/>
          <w:szCs w:val="23"/>
        </w:rPr>
        <w:t>,</w:t>
      </w:r>
      <w:r w:rsidR="007E69FE" w:rsidRPr="00FC346C">
        <w:rPr>
          <w:rFonts w:ascii="Times New Roman" w:hAnsi="Times New Roman" w:cs="Times New Roman"/>
          <w:kern w:val="0"/>
          <w:sz w:val="23"/>
          <w:szCs w:val="23"/>
        </w:rPr>
        <w:t xml:space="preserve"> the </w:t>
      </w:r>
      <w:proofErr w:type="spellStart"/>
      <w:r w:rsidR="007E69FE" w:rsidRPr="00FC346C">
        <w:rPr>
          <w:rFonts w:ascii="Times New Roman" w:hAnsi="Times New Roman" w:cs="Times New Roman"/>
          <w:kern w:val="0"/>
          <w:sz w:val="23"/>
          <w:szCs w:val="23"/>
        </w:rPr>
        <w:t>FoR</w:t>
      </w:r>
      <w:proofErr w:type="spellEnd"/>
      <w:r w:rsidR="007E69FE" w:rsidRPr="00FC346C">
        <w:rPr>
          <w:rFonts w:ascii="Times New Roman" w:hAnsi="Times New Roman" w:cs="Times New Roman"/>
          <w:kern w:val="0"/>
          <w:sz w:val="23"/>
          <w:szCs w:val="23"/>
        </w:rPr>
        <w:t xml:space="preserve"> Report </w:t>
      </w:r>
      <w:r w:rsidR="00C368B8" w:rsidRPr="00FC346C">
        <w:rPr>
          <w:rFonts w:ascii="Times New Roman" w:hAnsi="Times New Roman" w:cs="Times New Roman"/>
          <w:kern w:val="0"/>
          <w:sz w:val="23"/>
          <w:szCs w:val="23"/>
        </w:rPr>
        <w:t xml:space="preserve">concludes </w:t>
      </w:r>
      <w:r w:rsidR="002160BD" w:rsidRPr="00FC346C">
        <w:rPr>
          <w:rFonts w:ascii="Times New Roman" w:hAnsi="Times New Roman" w:cs="Times New Roman"/>
          <w:kern w:val="0"/>
          <w:sz w:val="23"/>
          <w:szCs w:val="23"/>
        </w:rPr>
        <w:t>that</w:t>
      </w:r>
      <w:r w:rsidR="00AE7E0B" w:rsidRPr="00FC346C">
        <w:rPr>
          <w:rFonts w:ascii="Times New Roman" w:hAnsi="Times New Roman" w:cs="Times New Roman"/>
          <w:kern w:val="0"/>
          <w:sz w:val="23"/>
          <w:szCs w:val="23"/>
        </w:rPr>
        <w:t xml:space="preserve"> the RoE for transmission companies should be reviewed immediately.</w:t>
      </w:r>
    </w:p>
    <w:p w14:paraId="541DD4C2" w14:textId="77777777" w:rsidR="00905AB2" w:rsidRPr="00FC346C" w:rsidRDefault="00905AB2" w:rsidP="00352DD7">
      <w:pPr>
        <w:pStyle w:val="ListParagraph"/>
        <w:spacing w:after="0" w:line="360" w:lineRule="auto"/>
        <w:rPr>
          <w:rFonts w:ascii="Times New Roman" w:hAnsi="Times New Roman" w:cs="Times New Roman"/>
          <w:sz w:val="23"/>
          <w:szCs w:val="23"/>
          <w:lang w:val="en-US"/>
        </w:rPr>
      </w:pPr>
    </w:p>
    <w:p w14:paraId="7C9AA7A1" w14:textId="74270521" w:rsidR="00905AB2" w:rsidRPr="00FC346C" w:rsidRDefault="00905AB2" w:rsidP="00352DD7">
      <w:pPr>
        <w:pStyle w:val="ListParagraph"/>
        <w:numPr>
          <w:ilvl w:val="0"/>
          <w:numId w:val="1"/>
        </w:numPr>
        <w:spacing w:after="0" w:line="360" w:lineRule="auto"/>
        <w:ind w:left="426" w:hanging="426"/>
        <w:jc w:val="both"/>
        <w:rPr>
          <w:rFonts w:ascii="Times New Roman" w:hAnsi="Times New Roman" w:cs="Times New Roman"/>
          <w:sz w:val="23"/>
          <w:szCs w:val="23"/>
          <w:lang w:val="en-US"/>
        </w:rPr>
      </w:pPr>
      <w:r w:rsidRPr="00FC346C">
        <w:rPr>
          <w:rFonts w:ascii="Times New Roman" w:hAnsi="Times New Roman" w:cs="Times New Roman"/>
          <w:sz w:val="23"/>
          <w:szCs w:val="23"/>
          <w:lang w:val="en-US"/>
        </w:rPr>
        <w:t xml:space="preserve">I submit that the RoE for </w:t>
      </w:r>
      <w:r w:rsidR="00343781" w:rsidRPr="00FC346C">
        <w:rPr>
          <w:rFonts w:ascii="Times New Roman" w:hAnsi="Times New Roman" w:cs="Times New Roman"/>
          <w:sz w:val="23"/>
          <w:szCs w:val="23"/>
          <w:lang w:val="en-US"/>
        </w:rPr>
        <w:t xml:space="preserve">RTM </w:t>
      </w:r>
      <w:r w:rsidRPr="00FC346C">
        <w:rPr>
          <w:rFonts w:ascii="Times New Roman" w:hAnsi="Times New Roman" w:cs="Times New Roman"/>
          <w:sz w:val="23"/>
          <w:szCs w:val="23"/>
          <w:lang w:val="en-US"/>
        </w:rPr>
        <w:t>transmission projects ought to be reviewed</w:t>
      </w:r>
      <w:r w:rsidR="00343781" w:rsidRPr="00FC346C">
        <w:rPr>
          <w:rFonts w:ascii="Times New Roman" w:hAnsi="Times New Roman" w:cs="Times New Roman"/>
          <w:sz w:val="23"/>
          <w:szCs w:val="23"/>
          <w:lang w:val="en-US"/>
        </w:rPr>
        <w:t xml:space="preserve"> and lowered</w:t>
      </w:r>
      <w:r w:rsidRPr="00FC346C">
        <w:rPr>
          <w:rFonts w:ascii="Times New Roman" w:hAnsi="Times New Roman" w:cs="Times New Roman"/>
          <w:sz w:val="23"/>
          <w:szCs w:val="23"/>
          <w:lang w:val="en-US"/>
        </w:rPr>
        <w:t xml:space="preserve"> immediately for the following</w:t>
      </w:r>
      <w:r w:rsidR="00842F64" w:rsidRPr="00FC346C">
        <w:rPr>
          <w:rFonts w:ascii="Times New Roman" w:hAnsi="Times New Roman" w:cs="Times New Roman"/>
          <w:sz w:val="23"/>
          <w:szCs w:val="23"/>
          <w:lang w:val="en-US"/>
        </w:rPr>
        <w:t xml:space="preserve"> reasons: </w:t>
      </w:r>
    </w:p>
    <w:p w14:paraId="759F640F" w14:textId="77777777" w:rsidR="00842F64" w:rsidRPr="00FC346C" w:rsidRDefault="00842F64" w:rsidP="00352DD7">
      <w:pPr>
        <w:pStyle w:val="ListParagraph"/>
        <w:spacing w:after="0" w:line="360" w:lineRule="auto"/>
        <w:rPr>
          <w:rFonts w:ascii="Times New Roman" w:hAnsi="Times New Roman" w:cs="Times New Roman"/>
          <w:sz w:val="23"/>
          <w:szCs w:val="23"/>
          <w:lang w:val="en-US"/>
        </w:rPr>
      </w:pPr>
    </w:p>
    <w:p w14:paraId="52EB8FB4" w14:textId="0BF085E1" w:rsidR="006D1524" w:rsidRPr="00FC346C" w:rsidRDefault="006D1524" w:rsidP="00352DD7">
      <w:pPr>
        <w:pStyle w:val="ListParagraph"/>
        <w:numPr>
          <w:ilvl w:val="1"/>
          <w:numId w:val="1"/>
        </w:numPr>
        <w:spacing w:after="0" w:line="360" w:lineRule="auto"/>
        <w:jc w:val="both"/>
        <w:rPr>
          <w:rFonts w:ascii="Times New Roman" w:hAnsi="Times New Roman" w:cs="Times New Roman"/>
          <w:sz w:val="23"/>
          <w:szCs w:val="23"/>
          <w:lang w:val="en-US"/>
        </w:rPr>
      </w:pPr>
      <w:r w:rsidRPr="00FC346C">
        <w:rPr>
          <w:rFonts w:ascii="Times New Roman" w:hAnsi="Times New Roman" w:cs="Times New Roman"/>
          <w:sz w:val="23"/>
          <w:szCs w:val="23"/>
          <w:lang w:val="en-US"/>
        </w:rPr>
        <w:t>No data or calculations have been provided in the Explanatory Memorandum (</w:t>
      </w:r>
      <w:r w:rsidRPr="00FC346C">
        <w:rPr>
          <w:rFonts w:ascii="Times New Roman" w:hAnsi="Times New Roman" w:cs="Times New Roman"/>
          <w:b/>
          <w:bCs/>
          <w:sz w:val="23"/>
          <w:szCs w:val="23"/>
          <w:lang w:val="en-US"/>
        </w:rPr>
        <w:t>EM</w:t>
      </w:r>
      <w:r w:rsidRPr="00FC346C">
        <w:rPr>
          <w:rFonts w:ascii="Times New Roman" w:hAnsi="Times New Roman" w:cs="Times New Roman"/>
          <w:sz w:val="23"/>
          <w:szCs w:val="23"/>
          <w:lang w:val="en-US"/>
        </w:rPr>
        <w:t>) of the Draft Regulations</w:t>
      </w:r>
      <w:r w:rsidR="00C368B8" w:rsidRPr="00FC346C">
        <w:rPr>
          <w:rFonts w:ascii="Times New Roman" w:hAnsi="Times New Roman" w:cs="Times New Roman"/>
          <w:sz w:val="23"/>
          <w:szCs w:val="23"/>
          <w:lang w:val="en-US"/>
        </w:rPr>
        <w:t xml:space="preserve"> substantiating the 15% rate</w:t>
      </w:r>
      <w:r w:rsidRPr="00FC346C">
        <w:rPr>
          <w:rFonts w:ascii="Times New Roman" w:hAnsi="Times New Roman" w:cs="Times New Roman"/>
          <w:sz w:val="23"/>
          <w:szCs w:val="23"/>
          <w:lang w:val="en-US"/>
        </w:rPr>
        <w:t xml:space="preserve">. </w:t>
      </w:r>
      <w:r w:rsidR="00D007B7" w:rsidRPr="00FC346C">
        <w:rPr>
          <w:rFonts w:ascii="Times New Roman" w:hAnsi="Times New Roman" w:cs="Times New Roman"/>
          <w:sz w:val="23"/>
          <w:szCs w:val="23"/>
          <w:lang w:val="en-US"/>
        </w:rPr>
        <w:t>I have also provided my independent calculations</w:t>
      </w:r>
      <w:r w:rsidR="006E0D50" w:rsidRPr="00FC346C">
        <w:rPr>
          <w:rFonts w:ascii="Times New Roman" w:hAnsi="Times New Roman" w:cs="Times New Roman"/>
          <w:sz w:val="23"/>
          <w:szCs w:val="23"/>
          <w:lang w:val="en-US"/>
        </w:rPr>
        <w:t xml:space="preserve">, which </w:t>
      </w:r>
      <w:r w:rsidR="00C368B8" w:rsidRPr="00FC346C">
        <w:rPr>
          <w:rFonts w:ascii="Times New Roman" w:hAnsi="Times New Roman" w:cs="Times New Roman"/>
          <w:sz w:val="23"/>
          <w:szCs w:val="23"/>
          <w:lang w:val="en-US"/>
        </w:rPr>
        <w:t xml:space="preserve">justify </w:t>
      </w:r>
      <w:r w:rsidR="003A5074" w:rsidRPr="00FC346C">
        <w:rPr>
          <w:rFonts w:ascii="Times New Roman" w:hAnsi="Times New Roman" w:cs="Times New Roman"/>
          <w:sz w:val="23"/>
          <w:szCs w:val="23"/>
          <w:lang w:val="en-US"/>
        </w:rPr>
        <w:t>a</w:t>
      </w:r>
      <w:r w:rsidR="00C368B8" w:rsidRPr="00FC346C">
        <w:rPr>
          <w:rFonts w:ascii="Times New Roman" w:hAnsi="Times New Roman" w:cs="Times New Roman"/>
          <w:sz w:val="23"/>
          <w:szCs w:val="23"/>
          <w:lang w:val="en-US"/>
        </w:rPr>
        <w:t xml:space="preserve"> lower rate of </w:t>
      </w:r>
      <w:r w:rsidR="003A5074" w:rsidRPr="00FC346C">
        <w:rPr>
          <w:rFonts w:ascii="Times New Roman" w:hAnsi="Times New Roman" w:cs="Times New Roman"/>
          <w:sz w:val="23"/>
          <w:szCs w:val="23"/>
          <w:lang w:val="en-US"/>
        </w:rPr>
        <w:t>12% - 12.5%</w:t>
      </w:r>
      <w:r w:rsidR="00393845" w:rsidRPr="00FC346C">
        <w:rPr>
          <w:rFonts w:ascii="Times New Roman" w:hAnsi="Times New Roman" w:cs="Times New Roman"/>
          <w:sz w:val="23"/>
          <w:szCs w:val="23"/>
          <w:lang w:val="en-US"/>
        </w:rPr>
        <w:t xml:space="preserve">. </w:t>
      </w:r>
      <w:r w:rsidR="00D007B7" w:rsidRPr="00FC346C">
        <w:rPr>
          <w:rFonts w:ascii="Times New Roman" w:hAnsi="Times New Roman" w:cs="Times New Roman"/>
          <w:sz w:val="23"/>
          <w:szCs w:val="23"/>
          <w:lang w:val="en-US"/>
        </w:rPr>
        <w:t xml:space="preserve"> </w:t>
      </w:r>
    </w:p>
    <w:p w14:paraId="6351C47B" w14:textId="77777777" w:rsidR="006D1524" w:rsidRPr="00FC346C" w:rsidRDefault="006D1524" w:rsidP="00352DD7">
      <w:pPr>
        <w:pStyle w:val="ListParagraph"/>
        <w:spacing w:after="0" w:line="360" w:lineRule="auto"/>
        <w:ind w:left="786"/>
        <w:jc w:val="both"/>
        <w:rPr>
          <w:rFonts w:ascii="Times New Roman" w:hAnsi="Times New Roman" w:cs="Times New Roman"/>
          <w:sz w:val="23"/>
          <w:szCs w:val="23"/>
          <w:lang w:val="en-US"/>
        </w:rPr>
      </w:pPr>
    </w:p>
    <w:p w14:paraId="44561D21" w14:textId="60A642C4" w:rsidR="00030359" w:rsidRPr="00FC346C" w:rsidRDefault="005B1B50" w:rsidP="00352DD7">
      <w:pPr>
        <w:pStyle w:val="ListParagraph"/>
        <w:numPr>
          <w:ilvl w:val="1"/>
          <w:numId w:val="1"/>
        </w:numPr>
        <w:spacing w:after="0" w:line="360" w:lineRule="auto"/>
        <w:jc w:val="both"/>
        <w:rPr>
          <w:rFonts w:ascii="Times New Roman" w:hAnsi="Times New Roman" w:cs="Times New Roman"/>
          <w:sz w:val="23"/>
          <w:szCs w:val="23"/>
          <w:lang w:val="en-US"/>
        </w:rPr>
      </w:pPr>
      <w:r w:rsidRPr="00FC346C">
        <w:rPr>
          <w:rFonts w:ascii="Times New Roman" w:hAnsi="Times New Roman" w:cs="Times New Roman"/>
          <w:sz w:val="23"/>
          <w:szCs w:val="23"/>
          <w:lang w:val="en-US"/>
        </w:rPr>
        <w:t>Risk and return must go hand in hand</w:t>
      </w:r>
      <w:r w:rsidR="00386BC1" w:rsidRPr="00FC346C">
        <w:rPr>
          <w:rFonts w:ascii="Times New Roman" w:hAnsi="Times New Roman" w:cs="Times New Roman"/>
          <w:sz w:val="23"/>
          <w:szCs w:val="23"/>
          <w:lang w:val="en-US"/>
        </w:rPr>
        <w:t>.</w:t>
      </w:r>
      <w:r w:rsidRPr="00FC346C">
        <w:rPr>
          <w:rFonts w:ascii="Times New Roman" w:hAnsi="Times New Roman" w:cs="Times New Roman"/>
          <w:sz w:val="23"/>
          <w:szCs w:val="23"/>
          <w:lang w:val="en-US"/>
        </w:rPr>
        <w:t xml:space="preserve"> </w:t>
      </w:r>
      <w:r w:rsidR="00386BC1" w:rsidRPr="00FC346C">
        <w:rPr>
          <w:rFonts w:ascii="Times New Roman" w:hAnsi="Times New Roman" w:cs="Times New Roman"/>
          <w:sz w:val="23"/>
          <w:szCs w:val="23"/>
          <w:lang w:val="en-US"/>
        </w:rPr>
        <w:t xml:space="preserve">Since </w:t>
      </w:r>
      <w:r w:rsidRPr="00FC346C">
        <w:rPr>
          <w:rFonts w:ascii="Times New Roman" w:hAnsi="Times New Roman" w:cs="Times New Roman"/>
          <w:sz w:val="23"/>
          <w:szCs w:val="23"/>
          <w:lang w:val="en-US"/>
        </w:rPr>
        <w:t>there is</w:t>
      </w:r>
      <w:r w:rsidR="00386BC1" w:rsidRPr="00FC346C">
        <w:rPr>
          <w:rFonts w:ascii="Times New Roman" w:hAnsi="Times New Roman" w:cs="Times New Roman"/>
          <w:sz w:val="23"/>
          <w:szCs w:val="23"/>
          <w:lang w:val="en-US"/>
        </w:rPr>
        <w:t xml:space="preserve"> a</w:t>
      </w:r>
      <w:r w:rsidRPr="00FC346C">
        <w:rPr>
          <w:rFonts w:ascii="Times New Roman" w:hAnsi="Times New Roman" w:cs="Times New Roman"/>
          <w:sz w:val="23"/>
          <w:szCs w:val="23"/>
          <w:lang w:val="en-US"/>
        </w:rPr>
        <w:t xml:space="preserve"> l</w:t>
      </w:r>
      <w:r w:rsidR="006D688E" w:rsidRPr="00FC346C">
        <w:rPr>
          <w:rFonts w:ascii="Times New Roman" w:hAnsi="Times New Roman" w:cs="Times New Roman"/>
          <w:sz w:val="23"/>
          <w:szCs w:val="23"/>
          <w:lang w:val="en-US"/>
        </w:rPr>
        <w:t>ow</w:t>
      </w:r>
      <w:r w:rsidR="004C191E" w:rsidRPr="00FC346C">
        <w:rPr>
          <w:rFonts w:ascii="Times New Roman" w:hAnsi="Times New Roman" w:cs="Times New Roman"/>
          <w:sz w:val="23"/>
          <w:szCs w:val="23"/>
          <w:lang w:val="en-US"/>
        </w:rPr>
        <w:t>er</w:t>
      </w:r>
      <w:r w:rsidR="006D688E" w:rsidRPr="00FC346C">
        <w:rPr>
          <w:rFonts w:ascii="Times New Roman" w:hAnsi="Times New Roman" w:cs="Times New Roman"/>
          <w:sz w:val="23"/>
          <w:szCs w:val="23"/>
          <w:lang w:val="en-US"/>
        </w:rPr>
        <w:t xml:space="preserve"> risk in the transmission sector</w:t>
      </w:r>
      <w:r w:rsidR="00386BC1" w:rsidRPr="00FC346C">
        <w:rPr>
          <w:rFonts w:ascii="Times New Roman" w:hAnsi="Times New Roman" w:cs="Times New Roman"/>
          <w:sz w:val="23"/>
          <w:szCs w:val="23"/>
          <w:lang w:val="en-US"/>
        </w:rPr>
        <w:t>, a lower RoE is appropriate</w:t>
      </w:r>
      <w:r w:rsidR="006B4FAA" w:rsidRPr="00FC346C">
        <w:rPr>
          <w:rFonts w:ascii="Times New Roman" w:hAnsi="Times New Roman" w:cs="Times New Roman"/>
          <w:sz w:val="23"/>
          <w:szCs w:val="23"/>
          <w:lang w:val="en-US"/>
        </w:rPr>
        <w:t>.</w:t>
      </w:r>
      <w:r w:rsidR="00030359" w:rsidRPr="00FC346C">
        <w:rPr>
          <w:rFonts w:ascii="Times New Roman" w:hAnsi="Times New Roman" w:cs="Times New Roman"/>
          <w:sz w:val="23"/>
          <w:szCs w:val="23"/>
          <w:lang w:val="en-US"/>
        </w:rPr>
        <w:t xml:space="preserve"> There has been an incremental de-risking of various constructions and cost escalation risks in the regulated tariff mechanism (</w:t>
      </w:r>
      <w:r w:rsidR="00030359" w:rsidRPr="00FC346C">
        <w:rPr>
          <w:rFonts w:ascii="Times New Roman" w:hAnsi="Times New Roman" w:cs="Times New Roman"/>
          <w:b/>
          <w:bCs/>
          <w:sz w:val="23"/>
          <w:szCs w:val="23"/>
          <w:lang w:val="en-US"/>
        </w:rPr>
        <w:t>RTM</w:t>
      </w:r>
      <w:r w:rsidR="00030359" w:rsidRPr="00FC346C">
        <w:rPr>
          <w:rFonts w:ascii="Times New Roman" w:hAnsi="Times New Roman" w:cs="Times New Roman"/>
          <w:sz w:val="23"/>
          <w:szCs w:val="23"/>
          <w:lang w:val="en-US"/>
        </w:rPr>
        <w:t>) or Section 62 transmission projects.</w:t>
      </w:r>
    </w:p>
    <w:p w14:paraId="4ED9BC64" w14:textId="77777777" w:rsidR="00D30D79" w:rsidRPr="00FC346C" w:rsidRDefault="00D30D79" w:rsidP="00352DD7">
      <w:pPr>
        <w:pStyle w:val="ListParagraph"/>
        <w:spacing w:after="0" w:line="360" w:lineRule="auto"/>
        <w:ind w:left="786"/>
        <w:jc w:val="both"/>
        <w:rPr>
          <w:rFonts w:ascii="Times New Roman" w:hAnsi="Times New Roman" w:cs="Times New Roman"/>
          <w:sz w:val="23"/>
          <w:szCs w:val="23"/>
          <w:lang w:val="en-US"/>
        </w:rPr>
      </w:pPr>
    </w:p>
    <w:p w14:paraId="4B75BADB" w14:textId="1962A398" w:rsidR="00842F64" w:rsidRPr="00FC346C" w:rsidRDefault="006B4FAA" w:rsidP="00352DD7">
      <w:pPr>
        <w:pStyle w:val="ListParagraph"/>
        <w:numPr>
          <w:ilvl w:val="1"/>
          <w:numId w:val="1"/>
        </w:numPr>
        <w:spacing w:after="0" w:line="360" w:lineRule="auto"/>
        <w:jc w:val="both"/>
        <w:rPr>
          <w:rFonts w:ascii="Times New Roman" w:hAnsi="Times New Roman" w:cs="Times New Roman"/>
          <w:sz w:val="23"/>
          <w:szCs w:val="23"/>
          <w:lang w:val="en-US"/>
        </w:rPr>
      </w:pPr>
      <w:r w:rsidRPr="00FC346C">
        <w:rPr>
          <w:rFonts w:ascii="Times New Roman" w:hAnsi="Times New Roman" w:cs="Times New Roman"/>
          <w:sz w:val="23"/>
          <w:szCs w:val="23"/>
          <w:lang w:val="en-US"/>
        </w:rPr>
        <w:t>O</w:t>
      </w:r>
      <w:r w:rsidR="007B409F" w:rsidRPr="00FC346C">
        <w:rPr>
          <w:rFonts w:ascii="Times New Roman" w:hAnsi="Times New Roman" w:cs="Times New Roman"/>
          <w:sz w:val="23"/>
          <w:szCs w:val="23"/>
          <w:lang w:val="en-US"/>
        </w:rPr>
        <w:t xml:space="preserve">ther SERCs </w:t>
      </w:r>
      <w:r w:rsidRPr="00FC346C">
        <w:rPr>
          <w:rFonts w:ascii="Times New Roman" w:hAnsi="Times New Roman" w:cs="Times New Roman"/>
          <w:sz w:val="23"/>
          <w:szCs w:val="23"/>
          <w:lang w:val="en-US"/>
        </w:rPr>
        <w:t xml:space="preserve">have </w:t>
      </w:r>
      <w:r w:rsidR="00CE4E8C" w:rsidRPr="00FC346C">
        <w:rPr>
          <w:rFonts w:ascii="Times New Roman" w:hAnsi="Times New Roman" w:cs="Times New Roman"/>
          <w:sz w:val="23"/>
          <w:szCs w:val="23"/>
          <w:lang w:val="en-US"/>
        </w:rPr>
        <w:t>prescribed</w:t>
      </w:r>
      <w:r w:rsidRPr="00FC346C">
        <w:rPr>
          <w:rFonts w:ascii="Times New Roman" w:hAnsi="Times New Roman" w:cs="Times New Roman"/>
          <w:sz w:val="23"/>
          <w:szCs w:val="23"/>
          <w:lang w:val="en-US"/>
        </w:rPr>
        <w:t xml:space="preserve"> </w:t>
      </w:r>
      <w:r w:rsidR="00386BC1" w:rsidRPr="00FC346C">
        <w:rPr>
          <w:rFonts w:ascii="Times New Roman" w:hAnsi="Times New Roman" w:cs="Times New Roman"/>
          <w:sz w:val="23"/>
          <w:szCs w:val="23"/>
          <w:lang w:val="en-US"/>
        </w:rPr>
        <w:t xml:space="preserve">a </w:t>
      </w:r>
      <w:r w:rsidRPr="00FC346C">
        <w:rPr>
          <w:rFonts w:ascii="Times New Roman" w:hAnsi="Times New Roman" w:cs="Times New Roman"/>
          <w:sz w:val="23"/>
          <w:szCs w:val="23"/>
          <w:lang w:val="en-US"/>
        </w:rPr>
        <w:t xml:space="preserve">lower RoE for </w:t>
      </w:r>
      <w:r w:rsidR="00386BC1" w:rsidRPr="00FC346C">
        <w:rPr>
          <w:rFonts w:ascii="Times New Roman" w:hAnsi="Times New Roman" w:cs="Times New Roman"/>
          <w:sz w:val="23"/>
          <w:szCs w:val="23"/>
          <w:lang w:val="en-US"/>
        </w:rPr>
        <w:t xml:space="preserve">intra-state </w:t>
      </w:r>
      <w:r w:rsidRPr="00FC346C">
        <w:rPr>
          <w:rFonts w:ascii="Times New Roman" w:hAnsi="Times New Roman" w:cs="Times New Roman"/>
          <w:sz w:val="23"/>
          <w:szCs w:val="23"/>
          <w:lang w:val="en-US"/>
        </w:rPr>
        <w:t>transmission projects.</w:t>
      </w:r>
    </w:p>
    <w:p w14:paraId="0BCAE4FD" w14:textId="77777777" w:rsidR="00D737DD" w:rsidRPr="00FC346C" w:rsidRDefault="00D737DD" w:rsidP="00352DD7">
      <w:pPr>
        <w:pStyle w:val="ListParagraph"/>
        <w:spacing w:after="0" w:line="360" w:lineRule="auto"/>
        <w:rPr>
          <w:rFonts w:ascii="Times New Roman" w:hAnsi="Times New Roman" w:cs="Times New Roman"/>
          <w:sz w:val="23"/>
          <w:szCs w:val="23"/>
          <w:lang w:val="en-US"/>
        </w:rPr>
      </w:pPr>
    </w:p>
    <w:p w14:paraId="52ED0B09" w14:textId="05503489" w:rsidR="00083A79" w:rsidRPr="00FC346C" w:rsidRDefault="001C1DE2" w:rsidP="00352DD7">
      <w:pPr>
        <w:pStyle w:val="ListParagraph"/>
        <w:numPr>
          <w:ilvl w:val="1"/>
          <w:numId w:val="1"/>
        </w:numPr>
        <w:spacing w:after="0" w:line="360" w:lineRule="auto"/>
        <w:jc w:val="both"/>
        <w:rPr>
          <w:rFonts w:ascii="Times New Roman" w:hAnsi="Times New Roman" w:cs="Times New Roman"/>
          <w:sz w:val="23"/>
          <w:szCs w:val="23"/>
          <w:lang w:val="en-US"/>
        </w:rPr>
      </w:pPr>
      <w:r w:rsidRPr="00FC346C">
        <w:rPr>
          <w:rFonts w:ascii="Times New Roman" w:hAnsi="Times New Roman" w:cs="Times New Roman"/>
          <w:sz w:val="23"/>
          <w:szCs w:val="23"/>
          <w:lang w:val="en-US"/>
        </w:rPr>
        <w:t xml:space="preserve">SERCs typically adjust the </w:t>
      </w:r>
      <w:r w:rsidR="000918C0" w:rsidRPr="00FC346C">
        <w:rPr>
          <w:rFonts w:ascii="Times New Roman" w:hAnsi="Times New Roman" w:cs="Times New Roman"/>
          <w:sz w:val="23"/>
          <w:szCs w:val="23"/>
          <w:lang w:val="en-US"/>
        </w:rPr>
        <w:t>N</w:t>
      </w:r>
      <w:r w:rsidR="00083A79" w:rsidRPr="00FC346C">
        <w:rPr>
          <w:rFonts w:ascii="Times New Roman" w:hAnsi="Times New Roman" w:cs="Times New Roman"/>
          <w:sz w:val="23"/>
          <w:szCs w:val="23"/>
          <w:lang w:val="en-US"/>
        </w:rPr>
        <w:t>on</w:t>
      </w:r>
      <w:r w:rsidRPr="00FC346C">
        <w:rPr>
          <w:rFonts w:ascii="Times New Roman" w:hAnsi="Times New Roman" w:cs="Times New Roman"/>
          <w:sz w:val="23"/>
          <w:szCs w:val="23"/>
          <w:lang w:val="en-US"/>
        </w:rPr>
        <w:t>-</w:t>
      </w:r>
      <w:r w:rsidR="000918C0" w:rsidRPr="00FC346C">
        <w:rPr>
          <w:rFonts w:ascii="Times New Roman" w:hAnsi="Times New Roman" w:cs="Times New Roman"/>
          <w:sz w:val="23"/>
          <w:szCs w:val="23"/>
          <w:lang w:val="en-US"/>
        </w:rPr>
        <w:t>T</w:t>
      </w:r>
      <w:r w:rsidR="00083A79" w:rsidRPr="00FC346C">
        <w:rPr>
          <w:rFonts w:ascii="Times New Roman" w:hAnsi="Times New Roman" w:cs="Times New Roman"/>
          <w:sz w:val="23"/>
          <w:szCs w:val="23"/>
          <w:lang w:val="en-US"/>
        </w:rPr>
        <w:t xml:space="preserve">ariff </w:t>
      </w:r>
      <w:r w:rsidR="000918C0" w:rsidRPr="00FC346C">
        <w:rPr>
          <w:rFonts w:ascii="Times New Roman" w:hAnsi="Times New Roman" w:cs="Times New Roman"/>
          <w:sz w:val="23"/>
          <w:szCs w:val="23"/>
          <w:lang w:val="en-US"/>
        </w:rPr>
        <w:t>I</w:t>
      </w:r>
      <w:r w:rsidR="00083A79" w:rsidRPr="00FC346C">
        <w:rPr>
          <w:rFonts w:ascii="Times New Roman" w:hAnsi="Times New Roman" w:cs="Times New Roman"/>
          <w:sz w:val="23"/>
          <w:szCs w:val="23"/>
          <w:lang w:val="en-US"/>
        </w:rPr>
        <w:t xml:space="preserve">ncome </w:t>
      </w:r>
      <w:r w:rsidRPr="00FC346C">
        <w:rPr>
          <w:rFonts w:ascii="Times New Roman" w:hAnsi="Times New Roman" w:cs="Times New Roman"/>
          <w:sz w:val="23"/>
          <w:szCs w:val="23"/>
          <w:lang w:val="en-US"/>
        </w:rPr>
        <w:t xml:space="preserve">of </w:t>
      </w:r>
      <w:r w:rsidR="000918C0" w:rsidRPr="00FC346C">
        <w:rPr>
          <w:rFonts w:ascii="Times New Roman" w:hAnsi="Times New Roman" w:cs="Times New Roman"/>
          <w:sz w:val="23"/>
          <w:szCs w:val="23"/>
          <w:lang w:val="en-US"/>
        </w:rPr>
        <w:t xml:space="preserve">RTM </w:t>
      </w:r>
      <w:r w:rsidRPr="00FC346C">
        <w:rPr>
          <w:rFonts w:ascii="Times New Roman" w:hAnsi="Times New Roman" w:cs="Times New Roman"/>
          <w:sz w:val="23"/>
          <w:szCs w:val="23"/>
          <w:lang w:val="en-US"/>
        </w:rPr>
        <w:t>transmission licensees, which is not done by th</w:t>
      </w:r>
      <w:r w:rsidR="00C93BD5" w:rsidRPr="00FC346C">
        <w:rPr>
          <w:rFonts w:ascii="Times New Roman" w:hAnsi="Times New Roman" w:cs="Times New Roman"/>
          <w:sz w:val="23"/>
          <w:szCs w:val="23"/>
          <w:lang w:val="en-US"/>
        </w:rPr>
        <w:t>is Hon’ble Commission</w:t>
      </w:r>
      <w:r w:rsidRPr="00FC346C">
        <w:rPr>
          <w:rFonts w:ascii="Times New Roman" w:hAnsi="Times New Roman" w:cs="Times New Roman"/>
          <w:sz w:val="23"/>
          <w:szCs w:val="23"/>
          <w:lang w:val="en-US"/>
        </w:rPr>
        <w:t xml:space="preserve">. </w:t>
      </w:r>
    </w:p>
    <w:p w14:paraId="62C7F949" w14:textId="77777777" w:rsidR="000918C0" w:rsidRPr="00FC346C" w:rsidRDefault="000918C0" w:rsidP="000918C0">
      <w:pPr>
        <w:pStyle w:val="ListParagraph"/>
        <w:rPr>
          <w:rFonts w:ascii="Times New Roman" w:hAnsi="Times New Roman" w:cs="Times New Roman"/>
          <w:sz w:val="23"/>
          <w:szCs w:val="23"/>
          <w:lang w:val="en-US"/>
        </w:rPr>
      </w:pPr>
    </w:p>
    <w:p w14:paraId="48341584" w14:textId="56F9377A" w:rsidR="006B3C2D" w:rsidRPr="00FC346C" w:rsidRDefault="00B83593" w:rsidP="00352DD7">
      <w:pPr>
        <w:pStyle w:val="ListParagraph"/>
        <w:spacing w:after="0" w:line="360" w:lineRule="auto"/>
        <w:ind w:left="426"/>
        <w:jc w:val="both"/>
        <w:rPr>
          <w:rFonts w:ascii="Times New Roman" w:hAnsi="Times New Roman" w:cs="Times New Roman"/>
          <w:b/>
          <w:bCs/>
          <w:smallCaps/>
          <w:sz w:val="23"/>
          <w:szCs w:val="23"/>
        </w:rPr>
      </w:pPr>
      <w:r w:rsidRPr="00FC346C">
        <w:rPr>
          <w:rFonts w:ascii="Times New Roman" w:hAnsi="Times New Roman" w:cs="Times New Roman"/>
          <w:b/>
          <w:bCs/>
          <w:smallCaps/>
          <w:sz w:val="23"/>
          <w:szCs w:val="23"/>
        </w:rPr>
        <w:t>No calculations provided</w:t>
      </w:r>
      <w:r w:rsidR="00C16588" w:rsidRPr="00FC346C">
        <w:rPr>
          <w:rFonts w:ascii="Times New Roman" w:hAnsi="Times New Roman" w:cs="Times New Roman"/>
          <w:b/>
          <w:bCs/>
          <w:smallCaps/>
          <w:sz w:val="23"/>
          <w:szCs w:val="23"/>
        </w:rPr>
        <w:t xml:space="preserve"> in the EM</w:t>
      </w:r>
      <w:r w:rsidR="00AA621E" w:rsidRPr="00FC346C">
        <w:rPr>
          <w:rFonts w:ascii="Times New Roman" w:hAnsi="Times New Roman" w:cs="Times New Roman"/>
          <w:b/>
          <w:bCs/>
          <w:smallCaps/>
          <w:sz w:val="23"/>
          <w:szCs w:val="23"/>
        </w:rPr>
        <w:t xml:space="preserve"> &amp;</w:t>
      </w:r>
      <w:r w:rsidR="006E7CF9" w:rsidRPr="00FC346C">
        <w:rPr>
          <w:rFonts w:ascii="Times New Roman" w:hAnsi="Times New Roman" w:cs="Times New Roman"/>
          <w:b/>
          <w:bCs/>
          <w:smallCaps/>
          <w:sz w:val="23"/>
          <w:szCs w:val="23"/>
        </w:rPr>
        <w:t xml:space="preserve"> my independent calculations</w:t>
      </w:r>
      <w:r w:rsidRPr="00FC346C">
        <w:rPr>
          <w:rFonts w:ascii="Times New Roman" w:hAnsi="Times New Roman" w:cs="Times New Roman"/>
          <w:b/>
          <w:bCs/>
          <w:smallCaps/>
          <w:sz w:val="23"/>
          <w:szCs w:val="23"/>
        </w:rPr>
        <w:t xml:space="preserve"> </w:t>
      </w:r>
    </w:p>
    <w:p w14:paraId="59C365AD" w14:textId="77777777" w:rsidR="006B3C2D" w:rsidRPr="00FC346C" w:rsidRDefault="006B3C2D" w:rsidP="00352DD7">
      <w:pPr>
        <w:pStyle w:val="ListParagraph"/>
        <w:spacing w:after="0" w:line="360" w:lineRule="auto"/>
        <w:ind w:left="426"/>
        <w:jc w:val="both"/>
        <w:rPr>
          <w:rFonts w:ascii="Times New Roman" w:hAnsi="Times New Roman" w:cs="Times New Roman"/>
          <w:sz w:val="23"/>
          <w:szCs w:val="23"/>
        </w:rPr>
      </w:pPr>
    </w:p>
    <w:p w14:paraId="53D56FB7" w14:textId="1EBEAB2B" w:rsidR="006E7CF9" w:rsidRPr="00FC346C" w:rsidRDefault="006E7CF9" w:rsidP="00352DD7">
      <w:pPr>
        <w:pStyle w:val="ListParagraph"/>
        <w:numPr>
          <w:ilvl w:val="0"/>
          <w:numId w:val="1"/>
        </w:numPr>
        <w:spacing w:after="0" w:line="360" w:lineRule="auto"/>
        <w:ind w:left="426" w:hanging="426"/>
        <w:jc w:val="both"/>
        <w:rPr>
          <w:rFonts w:ascii="Times New Roman" w:hAnsi="Times New Roman" w:cs="Times New Roman"/>
          <w:sz w:val="23"/>
          <w:szCs w:val="23"/>
        </w:rPr>
      </w:pPr>
      <w:r w:rsidRPr="00FC346C">
        <w:rPr>
          <w:rFonts w:ascii="Times New Roman" w:eastAsia="Times New Roman" w:hAnsi="Times New Roman" w:cs="Times New Roman"/>
          <w:sz w:val="23"/>
          <w:szCs w:val="23"/>
          <w:lang w:val="en-US"/>
        </w:rPr>
        <w:t>I note that the EM and Approach Paper from the Draft Regulations has relied on the CAPM to determine the cost of equity for stipulating the appropriate RoE. This is in line with tariff regulations notified by th</w:t>
      </w:r>
      <w:r w:rsidR="00C93BD5" w:rsidRPr="00FC346C">
        <w:rPr>
          <w:rFonts w:ascii="Times New Roman" w:eastAsia="Times New Roman" w:hAnsi="Times New Roman" w:cs="Times New Roman"/>
          <w:sz w:val="23"/>
          <w:szCs w:val="23"/>
          <w:lang w:val="en-US"/>
        </w:rPr>
        <w:t xml:space="preserve">is Hon’ble Commission </w:t>
      </w:r>
      <w:r w:rsidRPr="00FC346C">
        <w:rPr>
          <w:rFonts w:ascii="Times New Roman" w:eastAsia="Times New Roman" w:hAnsi="Times New Roman" w:cs="Times New Roman"/>
          <w:sz w:val="23"/>
          <w:szCs w:val="23"/>
          <w:lang w:val="en-US"/>
        </w:rPr>
        <w:t xml:space="preserve">for preceding control periods. </w:t>
      </w:r>
      <w:r w:rsidRPr="00FC346C">
        <w:rPr>
          <w:rFonts w:ascii="Times New Roman" w:eastAsia="Times New Roman" w:hAnsi="Times New Roman" w:cs="Times New Roman"/>
          <w:sz w:val="23"/>
          <w:szCs w:val="23"/>
        </w:rPr>
        <w:t xml:space="preserve">The formula for computing the RoE based on CAPM has been specified in the EM is as follows: </w:t>
      </w:r>
    </w:p>
    <w:p w14:paraId="3E2BA276" w14:textId="77777777" w:rsidR="006E7CF9" w:rsidRPr="00FC346C" w:rsidRDefault="006E7CF9" w:rsidP="00352DD7">
      <w:pPr>
        <w:pStyle w:val="ListParagraph"/>
        <w:spacing w:after="0" w:line="360" w:lineRule="auto"/>
        <w:ind w:left="284"/>
        <w:jc w:val="both"/>
        <w:rPr>
          <w:rFonts w:ascii="Times New Roman" w:hAnsi="Times New Roman" w:cs="Times New Roman"/>
          <w:b/>
          <w:bCs/>
          <w:sz w:val="23"/>
          <w:szCs w:val="23"/>
        </w:rPr>
      </w:pPr>
    </w:p>
    <w:p w14:paraId="2B0460AF" w14:textId="77777777" w:rsidR="006E7CF9" w:rsidRPr="00FC346C" w:rsidRDefault="006E7CF9" w:rsidP="00352DD7">
      <w:pPr>
        <w:pStyle w:val="ListParagraph"/>
        <w:spacing w:after="0" w:line="360" w:lineRule="auto"/>
        <w:ind w:left="360"/>
        <w:jc w:val="both"/>
        <w:rPr>
          <w:rFonts w:ascii="Times New Roman" w:hAnsi="Times New Roman" w:cs="Times New Roman"/>
          <w:sz w:val="23"/>
          <w:szCs w:val="23"/>
        </w:rPr>
      </w:pPr>
      <w:r w:rsidRPr="00FC346C">
        <w:rPr>
          <w:rFonts w:ascii="Times New Roman" w:hAnsi="Times New Roman" w:cs="Times New Roman"/>
          <w:i/>
          <w:iCs/>
          <w:sz w:val="23"/>
          <w:szCs w:val="23"/>
        </w:rPr>
        <w:t>Required (or expected) Return = Risk Free Rate + (Market Return – Risk Free Rate) x Equity Beta</w:t>
      </w:r>
      <w:r w:rsidRPr="00FC346C">
        <w:rPr>
          <w:rFonts w:ascii="Times New Roman" w:hAnsi="Times New Roman" w:cs="Times New Roman"/>
          <w:sz w:val="23"/>
          <w:szCs w:val="23"/>
        </w:rPr>
        <w:t xml:space="preserve"> </w:t>
      </w:r>
    </w:p>
    <w:p w14:paraId="07AB405B" w14:textId="77777777" w:rsidR="006E7CF9" w:rsidRPr="00FC346C" w:rsidRDefault="006E7CF9" w:rsidP="00352DD7">
      <w:pPr>
        <w:pStyle w:val="ListParagraph"/>
        <w:spacing w:after="0" w:line="360" w:lineRule="auto"/>
        <w:ind w:left="426"/>
        <w:jc w:val="both"/>
        <w:rPr>
          <w:rFonts w:ascii="Times New Roman" w:hAnsi="Times New Roman" w:cs="Times New Roman"/>
          <w:sz w:val="23"/>
          <w:szCs w:val="23"/>
        </w:rPr>
      </w:pPr>
    </w:p>
    <w:p w14:paraId="112A51C8" w14:textId="65A414D5" w:rsidR="006B3C2D" w:rsidRPr="00FC346C" w:rsidRDefault="00005D01" w:rsidP="00352DD7">
      <w:pPr>
        <w:pStyle w:val="ListParagraph"/>
        <w:numPr>
          <w:ilvl w:val="0"/>
          <w:numId w:val="1"/>
        </w:numPr>
        <w:spacing w:after="0" w:line="360" w:lineRule="auto"/>
        <w:ind w:left="426" w:hanging="426"/>
        <w:jc w:val="both"/>
        <w:rPr>
          <w:rFonts w:ascii="Times New Roman" w:hAnsi="Times New Roman" w:cs="Times New Roman"/>
          <w:sz w:val="23"/>
          <w:szCs w:val="23"/>
        </w:rPr>
      </w:pPr>
      <w:r w:rsidRPr="00FC346C">
        <w:rPr>
          <w:rFonts w:ascii="Times New Roman" w:eastAsia="Times New Roman" w:hAnsi="Times New Roman" w:cs="Times New Roman"/>
          <w:sz w:val="23"/>
          <w:szCs w:val="23"/>
        </w:rPr>
        <w:t>I</w:t>
      </w:r>
      <w:r w:rsidR="006B3C2D" w:rsidRPr="00FC346C">
        <w:rPr>
          <w:rFonts w:ascii="Times New Roman" w:eastAsia="Times New Roman" w:hAnsi="Times New Roman" w:cs="Times New Roman"/>
          <w:sz w:val="23"/>
          <w:szCs w:val="23"/>
        </w:rPr>
        <w:t>n summarily arriving at ~15.52% common cost of equity, the EM</w:t>
      </w:r>
      <w:r w:rsidRPr="00FC346C">
        <w:rPr>
          <w:rFonts w:ascii="Times New Roman" w:eastAsia="Times New Roman" w:hAnsi="Times New Roman" w:cs="Times New Roman"/>
          <w:sz w:val="23"/>
          <w:szCs w:val="23"/>
        </w:rPr>
        <w:t xml:space="preserve"> also</w:t>
      </w:r>
      <w:r w:rsidR="006B3C2D" w:rsidRPr="00FC346C">
        <w:rPr>
          <w:rFonts w:ascii="Times New Roman" w:eastAsia="Times New Roman" w:hAnsi="Times New Roman" w:cs="Times New Roman"/>
          <w:sz w:val="23"/>
          <w:szCs w:val="23"/>
        </w:rPr>
        <w:t xml:space="preserve"> does not provide any data or calculations – which makes the entire exercise non-transparent</w:t>
      </w:r>
      <w:r w:rsidR="00AA621E" w:rsidRPr="00FC346C">
        <w:rPr>
          <w:rFonts w:ascii="Times New Roman" w:eastAsia="Times New Roman" w:hAnsi="Times New Roman" w:cs="Times New Roman"/>
          <w:sz w:val="23"/>
          <w:szCs w:val="23"/>
        </w:rPr>
        <w:t xml:space="preserve"> and</w:t>
      </w:r>
      <w:r w:rsidRPr="00FC346C">
        <w:rPr>
          <w:rFonts w:ascii="Times New Roman" w:eastAsia="Times New Roman" w:hAnsi="Times New Roman" w:cs="Times New Roman"/>
          <w:sz w:val="23"/>
          <w:szCs w:val="23"/>
        </w:rPr>
        <w:t xml:space="preserve"> contrary to the</w:t>
      </w:r>
      <w:r w:rsidR="002661A8" w:rsidRPr="00FC346C">
        <w:rPr>
          <w:rFonts w:ascii="Times New Roman" w:eastAsia="Times New Roman" w:hAnsi="Times New Roman" w:cs="Times New Roman"/>
          <w:sz w:val="23"/>
          <w:szCs w:val="23"/>
        </w:rPr>
        <w:t xml:space="preserve"> letter and spirit of </w:t>
      </w:r>
      <w:r w:rsidR="00057E0D" w:rsidRPr="00FC346C">
        <w:rPr>
          <w:rFonts w:ascii="Times New Roman" w:eastAsia="Times New Roman" w:hAnsi="Times New Roman" w:cs="Times New Roman"/>
          <w:sz w:val="23"/>
          <w:szCs w:val="23"/>
        </w:rPr>
        <w:t xml:space="preserve">Section </w:t>
      </w:r>
      <w:r w:rsidR="00BE4A59" w:rsidRPr="00FC346C">
        <w:rPr>
          <w:rFonts w:ascii="Times New Roman" w:eastAsia="Times New Roman" w:hAnsi="Times New Roman" w:cs="Times New Roman"/>
          <w:sz w:val="23"/>
          <w:szCs w:val="23"/>
        </w:rPr>
        <w:t>178(3) of the Electricity Act, 2003 read with Rule 3 of the Electricity (Procedure for Previous Publication) Rules, 2005</w:t>
      </w:r>
      <w:r w:rsidR="006B3C2D" w:rsidRPr="00FC346C">
        <w:rPr>
          <w:rFonts w:ascii="Times New Roman" w:eastAsia="Times New Roman" w:hAnsi="Times New Roman" w:cs="Times New Roman"/>
          <w:sz w:val="23"/>
          <w:szCs w:val="23"/>
        </w:rPr>
        <w:t>. This may be contrasted with the explanatory memoranda of various S</w:t>
      </w:r>
      <w:r w:rsidR="00C66377" w:rsidRPr="00FC346C">
        <w:rPr>
          <w:rFonts w:ascii="Times New Roman" w:eastAsia="Times New Roman" w:hAnsi="Times New Roman" w:cs="Times New Roman"/>
          <w:sz w:val="23"/>
          <w:szCs w:val="23"/>
        </w:rPr>
        <w:t>ERCs</w:t>
      </w:r>
      <w:r w:rsidR="006B3C2D" w:rsidRPr="00FC346C">
        <w:rPr>
          <w:rFonts w:ascii="Times New Roman" w:eastAsia="Times New Roman" w:hAnsi="Times New Roman" w:cs="Times New Roman"/>
          <w:sz w:val="23"/>
          <w:szCs w:val="23"/>
        </w:rPr>
        <w:t xml:space="preserve">, wherein </w:t>
      </w:r>
      <w:r w:rsidR="00AA621E" w:rsidRPr="00FC346C">
        <w:rPr>
          <w:rFonts w:ascii="Times New Roman" w:eastAsia="Times New Roman" w:hAnsi="Times New Roman" w:cs="Times New Roman"/>
          <w:sz w:val="23"/>
          <w:szCs w:val="23"/>
        </w:rPr>
        <w:t xml:space="preserve">detailed </w:t>
      </w:r>
      <w:r w:rsidR="006B3C2D" w:rsidRPr="00FC346C">
        <w:rPr>
          <w:rFonts w:ascii="Times New Roman" w:eastAsia="Times New Roman" w:hAnsi="Times New Roman" w:cs="Times New Roman"/>
          <w:sz w:val="23"/>
          <w:szCs w:val="23"/>
        </w:rPr>
        <w:t>data and calculations are provided while calculating the RoE</w:t>
      </w:r>
      <w:r w:rsidR="00A219E6" w:rsidRPr="00FC346C">
        <w:rPr>
          <w:rFonts w:ascii="Times New Roman" w:eastAsia="Times New Roman" w:hAnsi="Times New Roman" w:cs="Times New Roman"/>
          <w:sz w:val="23"/>
          <w:szCs w:val="23"/>
        </w:rPr>
        <w:t xml:space="preserve"> stipulated in their draft regulations</w:t>
      </w:r>
      <w:r w:rsidR="006B3C2D" w:rsidRPr="00FC346C">
        <w:rPr>
          <w:rFonts w:ascii="Times New Roman" w:eastAsia="Times New Roman" w:hAnsi="Times New Roman" w:cs="Times New Roman"/>
          <w:sz w:val="23"/>
          <w:szCs w:val="23"/>
        </w:rPr>
        <w:t xml:space="preserve">.   </w:t>
      </w:r>
    </w:p>
    <w:p w14:paraId="1F4E0DDE" w14:textId="77777777" w:rsidR="00CF4273" w:rsidRPr="00FC346C" w:rsidRDefault="00CF4273" w:rsidP="00352DD7">
      <w:pPr>
        <w:pStyle w:val="ListParagraph"/>
        <w:spacing w:after="0" w:line="360" w:lineRule="auto"/>
        <w:ind w:left="426"/>
        <w:jc w:val="both"/>
        <w:rPr>
          <w:rFonts w:ascii="Times New Roman" w:hAnsi="Times New Roman" w:cs="Times New Roman"/>
          <w:sz w:val="23"/>
          <w:szCs w:val="23"/>
        </w:rPr>
      </w:pPr>
    </w:p>
    <w:p w14:paraId="52EF5C8F" w14:textId="276BD6DF" w:rsidR="00800982" w:rsidRPr="00FC346C" w:rsidRDefault="00800982" w:rsidP="00352DD7">
      <w:pPr>
        <w:pStyle w:val="ListParagraph"/>
        <w:spacing w:after="0" w:line="360" w:lineRule="auto"/>
        <w:ind w:left="426"/>
        <w:jc w:val="both"/>
        <w:rPr>
          <w:rFonts w:ascii="Times New Roman" w:hAnsi="Times New Roman" w:cs="Times New Roman"/>
          <w:b/>
          <w:bCs/>
          <w:i/>
          <w:iCs/>
          <w:sz w:val="23"/>
          <w:szCs w:val="23"/>
        </w:rPr>
      </w:pPr>
      <w:r w:rsidRPr="00FC346C">
        <w:rPr>
          <w:rFonts w:ascii="Times New Roman" w:hAnsi="Times New Roman" w:cs="Times New Roman"/>
          <w:b/>
          <w:bCs/>
          <w:i/>
          <w:iCs/>
          <w:sz w:val="23"/>
          <w:szCs w:val="23"/>
        </w:rPr>
        <w:t>Inconsistency/ Deficiency in the EM</w:t>
      </w:r>
    </w:p>
    <w:p w14:paraId="091D7A5D" w14:textId="77777777" w:rsidR="00800982" w:rsidRPr="00FC346C" w:rsidRDefault="00800982" w:rsidP="00352DD7">
      <w:pPr>
        <w:pStyle w:val="ListParagraph"/>
        <w:spacing w:after="0" w:line="360" w:lineRule="auto"/>
        <w:ind w:left="426"/>
        <w:jc w:val="both"/>
        <w:rPr>
          <w:rFonts w:ascii="Times New Roman" w:hAnsi="Times New Roman" w:cs="Times New Roman"/>
          <w:sz w:val="23"/>
          <w:szCs w:val="23"/>
        </w:rPr>
      </w:pPr>
    </w:p>
    <w:p w14:paraId="4A808836" w14:textId="13B95E1A" w:rsidR="00CF4273" w:rsidRPr="00FC346C" w:rsidRDefault="00CF4273" w:rsidP="00352DD7">
      <w:pPr>
        <w:pStyle w:val="ListParagraph"/>
        <w:numPr>
          <w:ilvl w:val="0"/>
          <w:numId w:val="1"/>
        </w:numPr>
        <w:spacing w:after="0" w:line="360" w:lineRule="auto"/>
        <w:ind w:left="426" w:hanging="426"/>
        <w:jc w:val="both"/>
        <w:rPr>
          <w:rFonts w:ascii="Times New Roman" w:hAnsi="Times New Roman" w:cs="Times New Roman"/>
          <w:sz w:val="23"/>
          <w:szCs w:val="23"/>
        </w:rPr>
      </w:pPr>
      <w:r w:rsidRPr="00FC346C">
        <w:rPr>
          <w:rFonts w:ascii="Times New Roman" w:hAnsi="Times New Roman" w:cs="Times New Roman"/>
          <w:sz w:val="23"/>
          <w:szCs w:val="23"/>
        </w:rPr>
        <w:t xml:space="preserve">Based on the </w:t>
      </w:r>
      <w:r w:rsidR="002763D0" w:rsidRPr="00FC346C">
        <w:rPr>
          <w:rFonts w:ascii="Times New Roman" w:hAnsi="Times New Roman" w:cs="Times New Roman"/>
          <w:sz w:val="23"/>
          <w:szCs w:val="23"/>
        </w:rPr>
        <w:t>CAPM model and formula specified in the EM</w:t>
      </w:r>
      <w:r w:rsidRPr="00FC346C">
        <w:rPr>
          <w:rFonts w:ascii="Times New Roman" w:hAnsi="Times New Roman" w:cs="Times New Roman"/>
          <w:sz w:val="23"/>
          <w:szCs w:val="23"/>
        </w:rPr>
        <w:t xml:space="preserve">, </w:t>
      </w:r>
      <w:r w:rsidR="002763D0" w:rsidRPr="00FC346C">
        <w:rPr>
          <w:rFonts w:ascii="Times New Roman" w:hAnsi="Times New Roman" w:cs="Times New Roman"/>
          <w:sz w:val="23"/>
          <w:szCs w:val="23"/>
        </w:rPr>
        <w:t>I</w:t>
      </w:r>
      <w:r w:rsidRPr="00FC346C">
        <w:rPr>
          <w:rFonts w:ascii="Times New Roman" w:hAnsi="Times New Roman" w:cs="Times New Roman"/>
          <w:sz w:val="23"/>
          <w:szCs w:val="23"/>
        </w:rPr>
        <w:t xml:space="preserve"> have </w:t>
      </w:r>
      <w:r w:rsidR="001A29B6" w:rsidRPr="00FC346C">
        <w:rPr>
          <w:rFonts w:ascii="Times New Roman" w:hAnsi="Times New Roman" w:cs="Times New Roman"/>
          <w:sz w:val="23"/>
          <w:szCs w:val="23"/>
        </w:rPr>
        <w:t xml:space="preserve">tried </w:t>
      </w:r>
      <w:r w:rsidRPr="00FC346C">
        <w:rPr>
          <w:rFonts w:ascii="Times New Roman" w:hAnsi="Times New Roman" w:cs="Times New Roman"/>
          <w:sz w:val="23"/>
          <w:szCs w:val="23"/>
        </w:rPr>
        <w:t xml:space="preserve">to validate the cost of equity computation and approximation of rate of </w:t>
      </w:r>
      <w:r w:rsidR="002763D0" w:rsidRPr="00FC346C">
        <w:rPr>
          <w:rFonts w:ascii="Times New Roman" w:hAnsi="Times New Roman" w:cs="Times New Roman"/>
          <w:sz w:val="23"/>
          <w:szCs w:val="23"/>
        </w:rPr>
        <w:t>RoE</w:t>
      </w:r>
      <w:r w:rsidRPr="00FC346C">
        <w:rPr>
          <w:rFonts w:ascii="Times New Roman" w:hAnsi="Times New Roman" w:cs="Times New Roman"/>
          <w:sz w:val="23"/>
          <w:szCs w:val="23"/>
        </w:rPr>
        <w:t xml:space="preserve"> proposed by </w:t>
      </w:r>
      <w:r w:rsidR="00C93BD5" w:rsidRPr="00FC346C">
        <w:rPr>
          <w:rFonts w:ascii="Times New Roman" w:hAnsi="Times New Roman" w:cs="Times New Roman"/>
          <w:sz w:val="23"/>
          <w:szCs w:val="23"/>
        </w:rPr>
        <w:t>this Hon’ble Commission</w:t>
      </w:r>
      <w:r w:rsidRPr="00FC346C">
        <w:rPr>
          <w:rFonts w:ascii="Times New Roman" w:hAnsi="Times New Roman" w:cs="Times New Roman"/>
          <w:sz w:val="23"/>
          <w:szCs w:val="23"/>
        </w:rPr>
        <w:t xml:space="preserve"> in the E</w:t>
      </w:r>
      <w:r w:rsidR="002763D0" w:rsidRPr="00FC346C">
        <w:rPr>
          <w:rFonts w:ascii="Times New Roman" w:hAnsi="Times New Roman" w:cs="Times New Roman"/>
          <w:sz w:val="23"/>
          <w:szCs w:val="23"/>
        </w:rPr>
        <w:t xml:space="preserve">M for </w:t>
      </w:r>
      <w:r w:rsidR="001A29B6" w:rsidRPr="00FC346C">
        <w:rPr>
          <w:rFonts w:ascii="Times New Roman" w:hAnsi="Times New Roman" w:cs="Times New Roman"/>
          <w:sz w:val="23"/>
          <w:szCs w:val="23"/>
        </w:rPr>
        <w:t xml:space="preserve">its </w:t>
      </w:r>
      <w:r w:rsidR="002763D0" w:rsidRPr="00FC346C">
        <w:rPr>
          <w:rFonts w:ascii="Times New Roman" w:hAnsi="Times New Roman" w:cs="Times New Roman"/>
          <w:sz w:val="23"/>
          <w:szCs w:val="23"/>
        </w:rPr>
        <w:t>D</w:t>
      </w:r>
      <w:r w:rsidRPr="00FC346C">
        <w:rPr>
          <w:rFonts w:ascii="Times New Roman" w:hAnsi="Times New Roman" w:cs="Times New Roman"/>
          <w:sz w:val="23"/>
          <w:szCs w:val="23"/>
        </w:rPr>
        <w:t>raft Regulations. On validation</w:t>
      </w:r>
      <w:r w:rsidR="002763D0" w:rsidRPr="00FC346C">
        <w:rPr>
          <w:rFonts w:ascii="Times New Roman" w:hAnsi="Times New Roman" w:cs="Times New Roman"/>
          <w:sz w:val="23"/>
          <w:szCs w:val="23"/>
        </w:rPr>
        <w:t>,</w:t>
      </w:r>
      <w:r w:rsidRPr="00FC346C">
        <w:rPr>
          <w:rFonts w:ascii="Times New Roman" w:hAnsi="Times New Roman" w:cs="Times New Roman"/>
          <w:sz w:val="23"/>
          <w:szCs w:val="23"/>
        </w:rPr>
        <w:t xml:space="preserve"> </w:t>
      </w:r>
      <w:r w:rsidR="002763D0" w:rsidRPr="00FC346C">
        <w:rPr>
          <w:rFonts w:ascii="Times New Roman" w:hAnsi="Times New Roman" w:cs="Times New Roman"/>
          <w:sz w:val="23"/>
          <w:szCs w:val="23"/>
        </w:rPr>
        <w:t>I</w:t>
      </w:r>
      <w:r w:rsidRPr="00FC346C">
        <w:rPr>
          <w:rFonts w:ascii="Times New Roman" w:hAnsi="Times New Roman" w:cs="Times New Roman"/>
          <w:sz w:val="23"/>
          <w:szCs w:val="23"/>
        </w:rPr>
        <w:t xml:space="preserve"> have found that while the risk free rate (</w:t>
      </w:r>
      <w:r w:rsidRPr="00FC346C">
        <w:rPr>
          <w:rFonts w:ascii="Times New Roman" w:hAnsi="Times New Roman" w:cs="Times New Roman"/>
          <w:b/>
          <w:bCs/>
          <w:sz w:val="23"/>
          <w:szCs w:val="23"/>
        </w:rPr>
        <w:t>Rf</w:t>
      </w:r>
      <w:r w:rsidRPr="00FC346C">
        <w:rPr>
          <w:rFonts w:ascii="Times New Roman" w:hAnsi="Times New Roman" w:cs="Times New Roman"/>
          <w:sz w:val="23"/>
          <w:szCs w:val="23"/>
        </w:rPr>
        <w:t>) of 7.35% considered based on 10-year government securities for the period from April 2022 to March 2023 is correct, there seems to be an inconsistency/</w:t>
      </w:r>
      <w:r w:rsidR="00565572" w:rsidRPr="00FC346C">
        <w:rPr>
          <w:rFonts w:ascii="Times New Roman" w:hAnsi="Times New Roman" w:cs="Times New Roman"/>
          <w:sz w:val="23"/>
          <w:szCs w:val="23"/>
        </w:rPr>
        <w:t xml:space="preserve"> </w:t>
      </w:r>
      <w:r w:rsidRPr="00FC346C">
        <w:rPr>
          <w:rFonts w:ascii="Times New Roman" w:hAnsi="Times New Roman" w:cs="Times New Roman"/>
          <w:sz w:val="23"/>
          <w:szCs w:val="23"/>
        </w:rPr>
        <w:t xml:space="preserve">deficiency on the </w:t>
      </w:r>
      <w:r w:rsidR="00565572" w:rsidRPr="00FC346C">
        <w:rPr>
          <w:rFonts w:ascii="Times New Roman" w:hAnsi="Times New Roman" w:cs="Times New Roman"/>
          <w:sz w:val="23"/>
          <w:szCs w:val="23"/>
        </w:rPr>
        <w:t>M</w:t>
      </w:r>
      <w:r w:rsidRPr="00FC346C">
        <w:rPr>
          <w:rFonts w:ascii="Times New Roman" w:hAnsi="Times New Roman" w:cs="Times New Roman"/>
          <w:sz w:val="23"/>
          <w:szCs w:val="23"/>
        </w:rPr>
        <w:t xml:space="preserve">arket </w:t>
      </w:r>
      <w:r w:rsidR="00565572" w:rsidRPr="00FC346C">
        <w:rPr>
          <w:rFonts w:ascii="Times New Roman" w:hAnsi="Times New Roman" w:cs="Times New Roman"/>
          <w:sz w:val="23"/>
          <w:szCs w:val="23"/>
        </w:rPr>
        <w:t>R</w:t>
      </w:r>
      <w:r w:rsidRPr="00FC346C">
        <w:rPr>
          <w:rFonts w:ascii="Times New Roman" w:hAnsi="Times New Roman" w:cs="Times New Roman"/>
          <w:sz w:val="23"/>
          <w:szCs w:val="23"/>
        </w:rPr>
        <w:t xml:space="preserve">ate of </w:t>
      </w:r>
      <w:r w:rsidR="00565572" w:rsidRPr="00FC346C">
        <w:rPr>
          <w:rFonts w:ascii="Times New Roman" w:hAnsi="Times New Roman" w:cs="Times New Roman"/>
          <w:sz w:val="23"/>
          <w:szCs w:val="23"/>
        </w:rPr>
        <w:t>R</w:t>
      </w:r>
      <w:r w:rsidRPr="00FC346C">
        <w:rPr>
          <w:rFonts w:ascii="Times New Roman" w:hAnsi="Times New Roman" w:cs="Times New Roman"/>
          <w:sz w:val="23"/>
          <w:szCs w:val="23"/>
        </w:rPr>
        <w:t>eturn (</w:t>
      </w:r>
      <w:r w:rsidRPr="00FC346C">
        <w:rPr>
          <w:rFonts w:ascii="Times New Roman" w:hAnsi="Times New Roman" w:cs="Times New Roman"/>
          <w:b/>
          <w:bCs/>
          <w:sz w:val="23"/>
          <w:szCs w:val="23"/>
        </w:rPr>
        <w:t>Rm</w:t>
      </w:r>
      <w:r w:rsidRPr="00FC346C">
        <w:rPr>
          <w:rFonts w:ascii="Times New Roman" w:hAnsi="Times New Roman" w:cs="Times New Roman"/>
          <w:sz w:val="23"/>
          <w:szCs w:val="23"/>
        </w:rPr>
        <w:t>) considered</w:t>
      </w:r>
      <w:r w:rsidR="001A29B6" w:rsidRPr="00FC346C">
        <w:rPr>
          <w:rFonts w:ascii="Times New Roman" w:hAnsi="Times New Roman" w:cs="Times New Roman"/>
          <w:sz w:val="23"/>
          <w:szCs w:val="23"/>
        </w:rPr>
        <w:t xml:space="preserve"> by the Hon’ble Commission</w:t>
      </w:r>
      <w:r w:rsidRPr="00FC346C">
        <w:rPr>
          <w:rFonts w:ascii="Times New Roman" w:hAnsi="Times New Roman" w:cs="Times New Roman"/>
          <w:sz w:val="23"/>
          <w:szCs w:val="23"/>
        </w:rPr>
        <w:t>. The inconsistencies/</w:t>
      </w:r>
      <w:r w:rsidR="00565572" w:rsidRPr="00FC346C">
        <w:rPr>
          <w:rFonts w:ascii="Times New Roman" w:hAnsi="Times New Roman" w:cs="Times New Roman"/>
          <w:sz w:val="23"/>
          <w:szCs w:val="23"/>
        </w:rPr>
        <w:t xml:space="preserve"> </w:t>
      </w:r>
      <w:r w:rsidRPr="00FC346C">
        <w:rPr>
          <w:rFonts w:ascii="Times New Roman" w:hAnsi="Times New Roman" w:cs="Times New Roman"/>
          <w:sz w:val="23"/>
          <w:szCs w:val="23"/>
        </w:rPr>
        <w:t xml:space="preserve">deficiency in the </w:t>
      </w:r>
      <w:r w:rsidR="00565572" w:rsidRPr="00FC346C">
        <w:rPr>
          <w:rFonts w:ascii="Times New Roman" w:hAnsi="Times New Roman" w:cs="Times New Roman"/>
          <w:sz w:val="23"/>
          <w:szCs w:val="23"/>
        </w:rPr>
        <w:t>M</w:t>
      </w:r>
      <w:r w:rsidRPr="00FC346C">
        <w:rPr>
          <w:rFonts w:ascii="Times New Roman" w:hAnsi="Times New Roman" w:cs="Times New Roman"/>
          <w:sz w:val="23"/>
          <w:szCs w:val="23"/>
        </w:rPr>
        <w:t xml:space="preserve">arket </w:t>
      </w:r>
      <w:r w:rsidR="00565572" w:rsidRPr="00FC346C">
        <w:rPr>
          <w:rFonts w:ascii="Times New Roman" w:hAnsi="Times New Roman" w:cs="Times New Roman"/>
          <w:sz w:val="23"/>
          <w:szCs w:val="23"/>
        </w:rPr>
        <w:t>R</w:t>
      </w:r>
      <w:r w:rsidRPr="00FC346C">
        <w:rPr>
          <w:rFonts w:ascii="Times New Roman" w:hAnsi="Times New Roman" w:cs="Times New Roman"/>
          <w:sz w:val="23"/>
          <w:szCs w:val="23"/>
        </w:rPr>
        <w:t xml:space="preserve">ate of </w:t>
      </w:r>
      <w:r w:rsidR="00565572" w:rsidRPr="00FC346C">
        <w:rPr>
          <w:rFonts w:ascii="Times New Roman" w:hAnsi="Times New Roman" w:cs="Times New Roman"/>
          <w:sz w:val="23"/>
          <w:szCs w:val="23"/>
        </w:rPr>
        <w:t>R</w:t>
      </w:r>
      <w:r w:rsidRPr="00FC346C">
        <w:rPr>
          <w:rFonts w:ascii="Times New Roman" w:hAnsi="Times New Roman" w:cs="Times New Roman"/>
          <w:sz w:val="23"/>
          <w:szCs w:val="23"/>
        </w:rPr>
        <w:t>eturn (</w:t>
      </w:r>
      <w:r w:rsidRPr="00FC346C">
        <w:rPr>
          <w:rFonts w:ascii="Times New Roman" w:hAnsi="Times New Roman" w:cs="Times New Roman"/>
          <w:b/>
          <w:bCs/>
          <w:sz w:val="23"/>
          <w:szCs w:val="23"/>
        </w:rPr>
        <w:t>Rm</w:t>
      </w:r>
      <w:r w:rsidRPr="00FC346C">
        <w:rPr>
          <w:rFonts w:ascii="Times New Roman" w:hAnsi="Times New Roman" w:cs="Times New Roman"/>
          <w:sz w:val="23"/>
          <w:szCs w:val="23"/>
        </w:rPr>
        <w:t>) has been summarised below: -</w:t>
      </w:r>
    </w:p>
    <w:p w14:paraId="2F4A1600" w14:textId="77777777" w:rsidR="00800982" w:rsidRPr="00FC346C" w:rsidRDefault="00800982" w:rsidP="00352DD7">
      <w:pPr>
        <w:pStyle w:val="ListParagraph"/>
        <w:spacing w:after="0" w:line="360" w:lineRule="auto"/>
        <w:ind w:left="786"/>
        <w:jc w:val="both"/>
        <w:rPr>
          <w:rFonts w:ascii="Times New Roman" w:hAnsi="Times New Roman" w:cs="Times New Roman"/>
          <w:sz w:val="23"/>
          <w:szCs w:val="23"/>
        </w:rPr>
      </w:pPr>
    </w:p>
    <w:p w14:paraId="3FF66B11" w14:textId="7B163DCF" w:rsidR="00CF4273" w:rsidRPr="00FC346C" w:rsidRDefault="00CF4273" w:rsidP="00352DD7">
      <w:pPr>
        <w:pStyle w:val="ListParagraph"/>
        <w:numPr>
          <w:ilvl w:val="1"/>
          <w:numId w:val="1"/>
        </w:numPr>
        <w:spacing w:after="0" w:line="360" w:lineRule="auto"/>
        <w:jc w:val="both"/>
        <w:rPr>
          <w:rFonts w:ascii="Times New Roman" w:hAnsi="Times New Roman" w:cs="Times New Roman"/>
          <w:sz w:val="23"/>
          <w:szCs w:val="23"/>
        </w:rPr>
      </w:pPr>
      <w:r w:rsidRPr="00FC346C">
        <w:rPr>
          <w:rFonts w:ascii="Times New Roman" w:hAnsi="Times New Roman" w:cs="Times New Roman"/>
          <w:sz w:val="23"/>
          <w:szCs w:val="23"/>
        </w:rPr>
        <w:t xml:space="preserve">The figure considered for Rm has not been specified in section “12.5 Commission’s View” </w:t>
      </w:r>
      <w:r w:rsidR="00304185" w:rsidRPr="00FC346C">
        <w:rPr>
          <w:rFonts w:ascii="Times New Roman" w:hAnsi="Times New Roman" w:cs="Times New Roman"/>
          <w:sz w:val="23"/>
          <w:szCs w:val="23"/>
        </w:rPr>
        <w:t xml:space="preserve">of the EM, </w:t>
      </w:r>
      <w:r w:rsidRPr="00FC346C">
        <w:rPr>
          <w:rFonts w:ascii="Times New Roman" w:hAnsi="Times New Roman" w:cs="Times New Roman"/>
          <w:sz w:val="23"/>
          <w:szCs w:val="23"/>
        </w:rPr>
        <w:t xml:space="preserve">which </w:t>
      </w:r>
      <w:r w:rsidR="00304185" w:rsidRPr="00FC346C">
        <w:rPr>
          <w:rFonts w:ascii="Times New Roman" w:hAnsi="Times New Roman" w:cs="Times New Roman"/>
          <w:sz w:val="23"/>
          <w:szCs w:val="23"/>
        </w:rPr>
        <w:t xml:space="preserve">can </w:t>
      </w:r>
      <w:r w:rsidRPr="00FC346C">
        <w:rPr>
          <w:rFonts w:ascii="Times New Roman" w:hAnsi="Times New Roman" w:cs="Times New Roman"/>
          <w:sz w:val="23"/>
          <w:szCs w:val="23"/>
        </w:rPr>
        <w:t>be</w:t>
      </w:r>
      <w:r w:rsidR="00304185" w:rsidRPr="00FC346C">
        <w:rPr>
          <w:rFonts w:ascii="Times New Roman" w:hAnsi="Times New Roman" w:cs="Times New Roman"/>
          <w:sz w:val="23"/>
          <w:szCs w:val="23"/>
        </w:rPr>
        <w:t xml:space="preserve"> independently</w:t>
      </w:r>
      <w:r w:rsidRPr="00FC346C">
        <w:rPr>
          <w:rFonts w:ascii="Times New Roman" w:hAnsi="Times New Roman" w:cs="Times New Roman"/>
          <w:sz w:val="23"/>
          <w:szCs w:val="23"/>
        </w:rPr>
        <w:t xml:space="preserve"> validated.</w:t>
      </w:r>
    </w:p>
    <w:p w14:paraId="35B0428E" w14:textId="77777777" w:rsidR="00800982" w:rsidRPr="00FC346C" w:rsidRDefault="00800982" w:rsidP="00352DD7">
      <w:pPr>
        <w:pStyle w:val="ListParagraph"/>
        <w:spacing w:after="0" w:line="360" w:lineRule="auto"/>
        <w:ind w:left="709"/>
        <w:contextualSpacing w:val="0"/>
        <w:jc w:val="both"/>
        <w:rPr>
          <w:rFonts w:ascii="Times New Roman" w:hAnsi="Times New Roman" w:cs="Times New Roman"/>
          <w:sz w:val="23"/>
          <w:szCs w:val="23"/>
        </w:rPr>
      </w:pPr>
    </w:p>
    <w:p w14:paraId="6B7630C8" w14:textId="22A11739" w:rsidR="00CF4273" w:rsidRPr="00FC346C" w:rsidRDefault="00CF4273" w:rsidP="00352DD7">
      <w:pPr>
        <w:pStyle w:val="ListParagraph"/>
        <w:numPr>
          <w:ilvl w:val="1"/>
          <w:numId w:val="1"/>
        </w:numPr>
        <w:spacing w:after="0" w:line="360" w:lineRule="auto"/>
        <w:jc w:val="both"/>
        <w:rPr>
          <w:rFonts w:ascii="Times New Roman" w:hAnsi="Times New Roman" w:cs="Times New Roman"/>
          <w:sz w:val="23"/>
          <w:szCs w:val="23"/>
        </w:rPr>
      </w:pPr>
      <w:r w:rsidRPr="00FC346C">
        <w:rPr>
          <w:rFonts w:ascii="Times New Roman" w:hAnsi="Times New Roman" w:cs="Times New Roman"/>
          <w:sz w:val="23"/>
          <w:szCs w:val="23"/>
        </w:rPr>
        <w:t>The Beta was computed based on last 5 years daily data on the BSE Power Index, whereas Rm was computed considering 31 years (April 1992 to March 2023). Both these numbers need to be for the same period of 5 years</w:t>
      </w:r>
      <w:r w:rsidR="00304185" w:rsidRPr="00FC346C">
        <w:rPr>
          <w:rFonts w:ascii="Times New Roman" w:hAnsi="Times New Roman" w:cs="Times New Roman"/>
          <w:sz w:val="23"/>
          <w:szCs w:val="23"/>
        </w:rPr>
        <w:t xml:space="preserve"> for consistency</w:t>
      </w:r>
      <w:r w:rsidR="00ED36FA" w:rsidRPr="00FC346C">
        <w:rPr>
          <w:rFonts w:ascii="Times New Roman" w:hAnsi="Times New Roman" w:cs="Times New Roman"/>
          <w:sz w:val="23"/>
          <w:szCs w:val="23"/>
        </w:rPr>
        <w:t>.</w:t>
      </w:r>
      <w:r w:rsidRPr="00FC346C">
        <w:rPr>
          <w:rFonts w:ascii="Times New Roman" w:hAnsi="Times New Roman" w:cs="Times New Roman"/>
          <w:sz w:val="23"/>
          <w:szCs w:val="23"/>
        </w:rPr>
        <w:t xml:space="preserve"> </w:t>
      </w:r>
      <w:r w:rsidR="00ED36FA" w:rsidRPr="00FC346C">
        <w:rPr>
          <w:rFonts w:ascii="Times New Roman" w:hAnsi="Times New Roman" w:cs="Times New Roman"/>
          <w:sz w:val="23"/>
          <w:szCs w:val="23"/>
        </w:rPr>
        <w:t>A</w:t>
      </w:r>
      <w:r w:rsidRPr="00FC346C">
        <w:rPr>
          <w:rFonts w:ascii="Times New Roman" w:hAnsi="Times New Roman" w:cs="Times New Roman"/>
          <w:sz w:val="23"/>
          <w:szCs w:val="23"/>
        </w:rPr>
        <w:t>s such</w:t>
      </w:r>
      <w:r w:rsidR="00ED36FA" w:rsidRPr="00FC346C">
        <w:rPr>
          <w:rFonts w:ascii="Times New Roman" w:hAnsi="Times New Roman" w:cs="Times New Roman"/>
          <w:sz w:val="23"/>
          <w:szCs w:val="23"/>
        </w:rPr>
        <w:t>,</w:t>
      </w:r>
      <w:r w:rsidRPr="00FC346C">
        <w:rPr>
          <w:rFonts w:ascii="Times New Roman" w:hAnsi="Times New Roman" w:cs="Times New Roman"/>
          <w:sz w:val="23"/>
          <w:szCs w:val="23"/>
        </w:rPr>
        <w:t xml:space="preserve"> there is no justification/</w:t>
      </w:r>
      <w:r w:rsidR="00800982" w:rsidRPr="00FC346C">
        <w:rPr>
          <w:rFonts w:ascii="Times New Roman" w:hAnsi="Times New Roman" w:cs="Times New Roman"/>
          <w:sz w:val="23"/>
          <w:szCs w:val="23"/>
        </w:rPr>
        <w:t xml:space="preserve"> </w:t>
      </w:r>
      <w:r w:rsidRPr="00FC346C">
        <w:rPr>
          <w:rFonts w:ascii="Times New Roman" w:hAnsi="Times New Roman" w:cs="Times New Roman"/>
          <w:sz w:val="23"/>
          <w:szCs w:val="23"/>
        </w:rPr>
        <w:t xml:space="preserve">reasoning provided </w:t>
      </w:r>
      <w:r w:rsidR="00ED36FA" w:rsidRPr="00FC346C">
        <w:rPr>
          <w:rFonts w:ascii="Times New Roman" w:hAnsi="Times New Roman" w:cs="Times New Roman"/>
          <w:sz w:val="23"/>
          <w:szCs w:val="23"/>
        </w:rPr>
        <w:t xml:space="preserve">in the EM </w:t>
      </w:r>
      <w:r w:rsidRPr="00FC346C">
        <w:rPr>
          <w:rFonts w:ascii="Times New Roman" w:hAnsi="Times New Roman" w:cs="Times New Roman"/>
          <w:sz w:val="23"/>
          <w:szCs w:val="23"/>
        </w:rPr>
        <w:t xml:space="preserve">for such a large difference in the </w:t>
      </w:r>
      <w:proofErr w:type="gramStart"/>
      <w:r w:rsidRPr="00FC346C">
        <w:rPr>
          <w:rFonts w:ascii="Times New Roman" w:hAnsi="Times New Roman" w:cs="Times New Roman"/>
          <w:sz w:val="23"/>
          <w:szCs w:val="23"/>
        </w:rPr>
        <w:t>time period</w:t>
      </w:r>
      <w:proofErr w:type="gramEnd"/>
      <w:r w:rsidRPr="00FC346C">
        <w:rPr>
          <w:rFonts w:ascii="Times New Roman" w:hAnsi="Times New Roman" w:cs="Times New Roman"/>
          <w:sz w:val="23"/>
          <w:szCs w:val="23"/>
        </w:rPr>
        <w:t xml:space="preserve"> considered for both the</w:t>
      </w:r>
      <w:r w:rsidR="00ED36FA" w:rsidRPr="00FC346C">
        <w:rPr>
          <w:rFonts w:ascii="Times New Roman" w:hAnsi="Times New Roman" w:cs="Times New Roman"/>
          <w:sz w:val="23"/>
          <w:szCs w:val="23"/>
        </w:rPr>
        <w:t>se</w:t>
      </w:r>
      <w:r w:rsidR="00304185" w:rsidRPr="00FC346C">
        <w:rPr>
          <w:rFonts w:ascii="Times New Roman" w:hAnsi="Times New Roman" w:cs="Times New Roman"/>
          <w:sz w:val="23"/>
          <w:szCs w:val="23"/>
        </w:rPr>
        <w:t xml:space="preserve"> inter-connected</w:t>
      </w:r>
      <w:r w:rsidRPr="00FC346C">
        <w:rPr>
          <w:rFonts w:ascii="Times New Roman" w:hAnsi="Times New Roman" w:cs="Times New Roman"/>
          <w:sz w:val="23"/>
          <w:szCs w:val="23"/>
        </w:rPr>
        <w:t xml:space="preserve"> parameters.</w:t>
      </w:r>
    </w:p>
    <w:p w14:paraId="61B6CBE0" w14:textId="77777777" w:rsidR="00ED36FA" w:rsidRPr="00FC346C" w:rsidRDefault="00ED36FA" w:rsidP="00352DD7">
      <w:pPr>
        <w:pStyle w:val="ListParagraph"/>
        <w:spacing w:after="0" w:line="360" w:lineRule="auto"/>
        <w:ind w:left="786"/>
        <w:jc w:val="both"/>
        <w:rPr>
          <w:rFonts w:ascii="Times New Roman" w:hAnsi="Times New Roman" w:cs="Times New Roman"/>
          <w:sz w:val="23"/>
          <w:szCs w:val="23"/>
        </w:rPr>
      </w:pPr>
    </w:p>
    <w:p w14:paraId="303A5F0B" w14:textId="495BB7E1" w:rsidR="00CF4273" w:rsidRPr="00FC346C" w:rsidRDefault="00CF4273" w:rsidP="00352DD7">
      <w:pPr>
        <w:pStyle w:val="ListParagraph"/>
        <w:numPr>
          <w:ilvl w:val="1"/>
          <w:numId w:val="1"/>
        </w:numPr>
        <w:spacing w:after="0" w:line="360" w:lineRule="auto"/>
        <w:jc w:val="both"/>
        <w:rPr>
          <w:rFonts w:ascii="Times New Roman" w:hAnsi="Times New Roman" w:cs="Times New Roman"/>
          <w:sz w:val="23"/>
          <w:szCs w:val="23"/>
        </w:rPr>
      </w:pPr>
      <w:proofErr w:type="gramStart"/>
      <w:r w:rsidRPr="00FC346C">
        <w:rPr>
          <w:rFonts w:ascii="Times New Roman" w:hAnsi="Times New Roman" w:cs="Times New Roman"/>
          <w:sz w:val="23"/>
          <w:szCs w:val="23"/>
        </w:rPr>
        <w:t>In order to</w:t>
      </w:r>
      <w:proofErr w:type="gramEnd"/>
      <w:r w:rsidRPr="00FC346C">
        <w:rPr>
          <w:rFonts w:ascii="Times New Roman" w:hAnsi="Times New Roman" w:cs="Times New Roman"/>
          <w:sz w:val="23"/>
          <w:szCs w:val="23"/>
        </w:rPr>
        <w:t xml:space="preserve"> derive the Beta, </w:t>
      </w:r>
      <w:r w:rsidR="00ED36FA" w:rsidRPr="00FC346C">
        <w:rPr>
          <w:rFonts w:ascii="Times New Roman" w:hAnsi="Times New Roman" w:cs="Times New Roman"/>
          <w:sz w:val="23"/>
          <w:szCs w:val="23"/>
        </w:rPr>
        <w:t>the</w:t>
      </w:r>
      <w:r w:rsidRPr="00FC346C">
        <w:rPr>
          <w:rFonts w:ascii="Times New Roman" w:hAnsi="Times New Roman" w:cs="Times New Roman"/>
          <w:sz w:val="23"/>
          <w:szCs w:val="23"/>
        </w:rPr>
        <w:t xml:space="preserve"> </w:t>
      </w:r>
      <w:r w:rsidR="00A11286" w:rsidRPr="00FC346C">
        <w:rPr>
          <w:rFonts w:ascii="Times New Roman" w:hAnsi="Times New Roman" w:cs="Times New Roman"/>
          <w:sz w:val="23"/>
          <w:szCs w:val="23"/>
        </w:rPr>
        <w:t xml:space="preserve">Hon’ble Commission </w:t>
      </w:r>
      <w:r w:rsidR="00ED36FA" w:rsidRPr="00FC346C">
        <w:rPr>
          <w:rFonts w:ascii="Times New Roman" w:hAnsi="Times New Roman" w:cs="Times New Roman"/>
          <w:sz w:val="23"/>
          <w:szCs w:val="23"/>
        </w:rPr>
        <w:t>has</w:t>
      </w:r>
      <w:r w:rsidRPr="00FC346C">
        <w:rPr>
          <w:rFonts w:ascii="Times New Roman" w:hAnsi="Times New Roman" w:cs="Times New Roman"/>
          <w:sz w:val="23"/>
          <w:szCs w:val="23"/>
        </w:rPr>
        <w:t xml:space="preserve"> mandated the use of the most recent five-year dataset for calculating the leveraged beta value </w:t>
      </w:r>
      <w:r w:rsidR="008262B6" w:rsidRPr="00FC346C">
        <w:rPr>
          <w:rFonts w:ascii="Times New Roman" w:hAnsi="Times New Roman" w:cs="Times New Roman"/>
          <w:sz w:val="23"/>
          <w:szCs w:val="23"/>
        </w:rPr>
        <w:t>so as to</w:t>
      </w:r>
      <w:r w:rsidRPr="00FC346C">
        <w:rPr>
          <w:rFonts w:ascii="Times New Roman" w:hAnsi="Times New Roman" w:cs="Times New Roman"/>
          <w:sz w:val="23"/>
          <w:szCs w:val="23"/>
        </w:rPr>
        <w:t xml:space="preserve"> determin</w:t>
      </w:r>
      <w:r w:rsidR="008262B6" w:rsidRPr="00FC346C">
        <w:rPr>
          <w:rFonts w:ascii="Times New Roman" w:hAnsi="Times New Roman" w:cs="Times New Roman"/>
          <w:sz w:val="23"/>
          <w:szCs w:val="23"/>
        </w:rPr>
        <w:t>e</w:t>
      </w:r>
      <w:r w:rsidRPr="00FC346C">
        <w:rPr>
          <w:rFonts w:ascii="Times New Roman" w:hAnsi="Times New Roman" w:cs="Times New Roman"/>
          <w:sz w:val="23"/>
          <w:szCs w:val="23"/>
        </w:rPr>
        <w:t xml:space="preserve"> the average cost of equity. However, specific details were not provided regarding the values or the timeframe</w:t>
      </w:r>
      <w:r w:rsidR="00033500" w:rsidRPr="00FC346C">
        <w:rPr>
          <w:rFonts w:ascii="Times New Roman" w:hAnsi="Times New Roman" w:cs="Times New Roman"/>
          <w:sz w:val="23"/>
          <w:szCs w:val="23"/>
        </w:rPr>
        <w:t>.</w:t>
      </w:r>
      <w:r w:rsidRPr="00FC346C">
        <w:rPr>
          <w:rFonts w:ascii="Times New Roman" w:hAnsi="Times New Roman" w:cs="Times New Roman"/>
          <w:sz w:val="23"/>
          <w:szCs w:val="23"/>
        </w:rPr>
        <w:t xml:space="preserve"> </w:t>
      </w:r>
      <w:r w:rsidR="00033500" w:rsidRPr="00FC346C">
        <w:rPr>
          <w:rFonts w:ascii="Times New Roman" w:hAnsi="Times New Roman" w:cs="Times New Roman"/>
          <w:sz w:val="23"/>
          <w:szCs w:val="23"/>
        </w:rPr>
        <w:t xml:space="preserve">It is unclear </w:t>
      </w:r>
      <w:r w:rsidRPr="00FC346C">
        <w:rPr>
          <w:rFonts w:ascii="Times New Roman" w:hAnsi="Times New Roman" w:cs="Times New Roman"/>
          <w:sz w:val="23"/>
          <w:szCs w:val="23"/>
        </w:rPr>
        <w:t xml:space="preserve">whether </w:t>
      </w:r>
      <w:r w:rsidR="00033500" w:rsidRPr="00FC346C">
        <w:rPr>
          <w:rFonts w:ascii="Times New Roman" w:hAnsi="Times New Roman" w:cs="Times New Roman"/>
          <w:sz w:val="23"/>
          <w:szCs w:val="23"/>
        </w:rPr>
        <w:t xml:space="preserve">the data set </w:t>
      </w:r>
      <w:r w:rsidRPr="00FC346C">
        <w:rPr>
          <w:rFonts w:ascii="Times New Roman" w:hAnsi="Times New Roman" w:cs="Times New Roman"/>
          <w:sz w:val="23"/>
          <w:szCs w:val="23"/>
        </w:rPr>
        <w:t>pertains to the latest five financial years' data</w:t>
      </w:r>
      <w:r w:rsidR="00BA3CAB" w:rsidRPr="00FC346C">
        <w:rPr>
          <w:rFonts w:ascii="Times New Roman" w:hAnsi="Times New Roman" w:cs="Times New Roman"/>
          <w:sz w:val="23"/>
          <w:szCs w:val="23"/>
        </w:rPr>
        <w:t xml:space="preserve"> (FY 2017-18 to FY 2022-23)</w:t>
      </w:r>
      <w:r w:rsidRPr="00FC346C">
        <w:rPr>
          <w:rFonts w:ascii="Times New Roman" w:hAnsi="Times New Roman" w:cs="Times New Roman"/>
          <w:sz w:val="23"/>
          <w:szCs w:val="23"/>
        </w:rPr>
        <w:t xml:space="preserve"> or the most recent five years' data </w:t>
      </w:r>
      <w:r w:rsidR="008672C0" w:rsidRPr="00FC346C">
        <w:rPr>
          <w:rFonts w:ascii="Times New Roman" w:hAnsi="Times New Roman" w:cs="Times New Roman"/>
          <w:sz w:val="23"/>
          <w:szCs w:val="23"/>
        </w:rPr>
        <w:t xml:space="preserve">preceding </w:t>
      </w:r>
      <w:r w:rsidRPr="00FC346C">
        <w:rPr>
          <w:rFonts w:ascii="Times New Roman" w:hAnsi="Times New Roman" w:cs="Times New Roman"/>
          <w:sz w:val="23"/>
          <w:szCs w:val="23"/>
        </w:rPr>
        <w:t xml:space="preserve">the month </w:t>
      </w:r>
      <w:r w:rsidR="008672C0" w:rsidRPr="00FC346C">
        <w:rPr>
          <w:rFonts w:ascii="Times New Roman" w:hAnsi="Times New Roman" w:cs="Times New Roman"/>
          <w:sz w:val="23"/>
          <w:szCs w:val="23"/>
        </w:rPr>
        <w:t xml:space="preserve">when </w:t>
      </w:r>
      <w:r w:rsidRPr="00FC346C">
        <w:rPr>
          <w:rFonts w:ascii="Times New Roman" w:hAnsi="Times New Roman" w:cs="Times New Roman"/>
          <w:sz w:val="23"/>
          <w:szCs w:val="23"/>
        </w:rPr>
        <w:t>the EM was notified</w:t>
      </w:r>
      <w:r w:rsidR="00BA3CAB" w:rsidRPr="00FC346C">
        <w:rPr>
          <w:rFonts w:ascii="Times New Roman" w:hAnsi="Times New Roman" w:cs="Times New Roman"/>
          <w:sz w:val="23"/>
          <w:szCs w:val="23"/>
        </w:rPr>
        <w:t xml:space="preserve"> (</w:t>
      </w:r>
      <w:r w:rsidR="0045777D" w:rsidRPr="00FC346C">
        <w:rPr>
          <w:rFonts w:ascii="Times New Roman" w:hAnsi="Times New Roman" w:cs="Times New Roman"/>
          <w:sz w:val="23"/>
          <w:szCs w:val="23"/>
        </w:rPr>
        <w:t>December</w:t>
      </w:r>
      <w:r w:rsidR="00BA3CAB" w:rsidRPr="00FC346C">
        <w:rPr>
          <w:rFonts w:ascii="Times New Roman" w:hAnsi="Times New Roman" w:cs="Times New Roman"/>
          <w:sz w:val="23"/>
          <w:szCs w:val="23"/>
        </w:rPr>
        <w:t xml:space="preserve"> 2018 to December 2023)</w:t>
      </w:r>
      <w:r w:rsidRPr="00FC346C">
        <w:rPr>
          <w:rFonts w:ascii="Times New Roman" w:hAnsi="Times New Roman" w:cs="Times New Roman"/>
          <w:sz w:val="23"/>
          <w:szCs w:val="23"/>
        </w:rPr>
        <w:t>.</w:t>
      </w:r>
      <w:r w:rsidR="00B946EC" w:rsidRPr="00FC346C">
        <w:rPr>
          <w:rFonts w:ascii="Times New Roman" w:hAnsi="Times New Roman" w:cs="Times New Roman"/>
          <w:sz w:val="23"/>
          <w:szCs w:val="23"/>
        </w:rPr>
        <w:t xml:space="preserve"> I </w:t>
      </w:r>
      <w:r w:rsidRPr="00FC346C">
        <w:rPr>
          <w:rFonts w:ascii="Times New Roman" w:hAnsi="Times New Roman" w:cs="Times New Roman"/>
          <w:sz w:val="23"/>
          <w:szCs w:val="23"/>
        </w:rPr>
        <w:t>have assessed the Beta computation based on</w:t>
      </w:r>
      <w:r w:rsidR="00033500" w:rsidRPr="00FC346C">
        <w:rPr>
          <w:rFonts w:ascii="Times New Roman" w:hAnsi="Times New Roman" w:cs="Times New Roman"/>
          <w:sz w:val="23"/>
          <w:szCs w:val="23"/>
        </w:rPr>
        <w:t xml:space="preserve"> the</w:t>
      </w:r>
      <w:r w:rsidRPr="00FC346C">
        <w:rPr>
          <w:rFonts w:ascii="Times New Roman" w:hAnsi="Times New Roman" w:cs="Times New Roman"/>
          <w:sz w:val="23"/>
          <w:szCs w:val="23"/>
        </w:rPr>
        <w:t xml:space="preserve"> BSE Power Index since its inception and returns of major power companies involved in both generation (thermal &amp; hydro) and transmission business</w:t>
      </w:r>
      <w:r w:rsidR="00DC1808" w:rsidRPr="00FC346C">
        <w:rPr>
          <w:rFonts w:ascii="Times New Roman" w:hAnsi="Times New Roman" w:cs="Times New Roman"/>
          <w:sz w:val="23"/>
          <w:szCs w:val="23"/>
        </w:rPr>
        <w:t>es</w:t>
      </w:r>
      <w:r w:rsidR="00333BC7" w:rsidRPr="00FC346C">
        <w:rPr>
          <w:rFonts w:ascii="Times New Roman" w:hAnsi="Times New Roman" w:cs="Times New Roman"/>
          <w:sz w:val="23"/>
          <w:szCs w:val="23"/>
        </w:rPr>
        <w:t>,</w:t>
      </w:r>
      <w:r w:rsidRPr="00FC346C">
        <w:rPr>
          <w:rFonts w:ascii="Times New Roman" w:hAnsi="Times New Roman" w:cs="Times New Roman"/>
          <w:sz w:val="23"/>
          <w:szCs w:val="23"/>
        </w:rPr>
        <w:t xml:space="preserve"> which is provided in the later sections</w:t>
      </w:r>
      <w:r w:rsidR="008D65C4" w:rsidRPr="00FC346C">
        <w:rPr>
          <w:rFonts w:ascii="Times New Roman" w:hAnsi="Times New Roman" w:cs="Times New Roman"/>
          <w:sz w:val="23"/>
          <w:szCs w:val="23"/>
        </w:rPr>
        <w:t xml:space="preserve"> of these comments</w:t>
      </w:r>
      <w:r w:rsidRPr="00FC346C">
        <w:rPr>
          <w:rFonts w:ascii="Times New Roman" w:hAnsi="Times New Roman" w:cs="Times New Roman"/>
          <w:sz w:val="23"/>
          <w:szCs w:val="23"/>
        </w:rPr>
        <w:t xml:space="preserve">. </w:t>
      </w:r>
    </w:p>
    <w:p w14:paraId="1B55DA52" w14:textId="77777777" w:rsidR="008D22EA" w:rsidRPr="00FC346C" w:rsidRDefault="008D22EA" w:rsidP="00352DD7">
      <w:pPr>
        <w:pStyle w:val="ListParagraph"/>
        <w:spacing w:after="0" w:line="360" w:lineRule="auto"/>
        <w:ind w:left="786"/>
        <w:jc w:val="both"/>
        <w:rPr>
          <w:rFonts w:ascii="Times New Roman" w:hAnsi="Times New Roman" w:cs="Times New Roman"/>
          <w:sz w:val="23"/>
          <w:szCs w:val="23"/>
        </w:rPr>
      </w:pPr>
    </w:p>
    <w:p w14:paraId="4A5D0289" w14:textId="372589E8" w:rsidR="00CF4273" w:rsidRPr="00FC346C" w:rsidRDefault="00CF4273" w:rsidP="00352DD7">
      <w:pPr>
        <w:pStyle w:val="ListParagraph"/>
        <w:numPr>
          <w:ilvl w:val="1"/>
          <w:numId w:val="1"/>
        </w:numPr>
        <w:spacing w:after="0" w:line="360" w:lineRule="auto"/>
        <w:jc w:val="both"/>
        <w:rPr>
          <w:rFonts w:ascii="Times New Roman" w:hAnsi="Times New Roman" w:cs="Times New Roman"/>
          <w:sz w:val="23"/>
          <w:szCs w:val="23"/>
        </w:rPr>
      </w:pPr>
      <w:r w:rsidRPr="00FC346C">
        <w:rPr>
          <w:rFonts w:ascii="Times New Roman" w:hAnsi="Times New Roman" w:cs="Times New Roman"/>
          <w:sz w:val="23"/>
          <w:szCs w:val="23"/>
        </w:rPr>
        <w:t xml:space="preserve">Average annual growth rate for 31 years is considered for computing the Rm. There is a wide fluctuation on annual growth rate with as high as 81.03% and as low as -52.45% </w:t>
      </w:r>
      <w:r w:rsidR="008D65C4" w:rsidRPr="00FC346C">
        <w:rPr>
          <w:rFonts w:ascii="Times New Roman" w:hAnsi="Times New Roman" w:cs="Times New Roman"/>
          <w:sz w:val="23"/>
          <w:szCs w:val="23"/>
        </w:rPr>
        <w:t xml:space="preserve">- </w:t>
      </w:r>
      <w:r w:rsidRPr="00FC346C">
        <w:rPr>
          <w:rFonts w:ascii="Times New Roman" w:hAnsi="Times New Roman" w:cs="Times New Roman"/>
          <w:sz w:val="23"/>
          <w:szCs w:val="23"/>
        </w:rPr>
        <w:t xml:space="preserve">which are wide abnormalities. Therefore, average annual growth rate doesn’t </w:t>
      </w:r>
      <w:r w:rsidR="00C0528B" w:rsidRPr="00FC346C">
        <w:rPr>
          <w:rFonts w:ascii="Times New Roman" w:hAnsi="Times New Roman" w:cs="Times New Roman"/>
          <w:sz w:val="23"/>
          <w:szCs w:val="23"/>
        </w:rPr>
        <w:t>eliminate</w:t>
      </w:r>
      <w:r w:rsidRPr="00FC346C">
        <w:rPr>
          <w:rFonts w:ascii="Times New Roman" w:hAnsi="Times New Roman" w:cs="Times New Roman"/>
          <w:sz w:val="23"/>
          <w:szCs w:val="23"/>
        </w:rPr>
        <w:t xml:space="preserve"> these abnormalities. Further, the </w:t>
      </w:r>
      <w:r w:rsidR="00C0528B" w:rsidRPr="00FC346C">
        <w:rPr>
          <w:rFonts w:ascii="Times New Roman" w:hAnsi="Times New Roman" w:cs="Times New Roman"/>
          <w:sz w:val="23"/>
          <w:szCs w:val="23"/>
        </w:rPr>
        <w:t xml:space="preserve">Rm </w:t>
      </w:r>
      <w:r w:rsidRPr="00FC346C">
        <w:rPr>
          <w:rFonts w:ascii="Times New Roman" w:hAnsi="Times New Roman" w:cs="Times New Roman"/>
          <w:sz w:val="23"/>
          <w:szCs w:val="23"/>
        </w:rPr>
        <w:t>on yearly basis or average annual growth rate is not an appropriate reflection of the return expectation of a</w:t>
      </w:r>
      <w:r w:rsidR="00333BC7" w:rsidRPr="00FC346C">
        <w:rPr>
          <w:rFonts w:ascii="Times New Roman" w:hAnsi="Times New Roman" w:cs="Times New Roman"/>
          <w:sz w:val="23"/>
          <w:szCs w:val="23"/>
        </w:rPr>
        <w:t xml:space="preserve"> 35-year</w:t>
      </w:r>
      <w:r w:rsidRPr="00FC346C">
        <w:rPr>
          <w:rFonts w:ascii="Times New Roman" w:hAnsi="Times New Roman" w:cs="Times New Roman"/>
          <w:sz w:val="23"/>
          <w:szCs w:val="23"/>
        </w:rPr>
        <w:t xml:space="preserve"> long term project investment</w:t>
      </w:r>
      <w:r w:rsidR="00333BC7" w:rsidRPr="00FC346C">
        <w:rPr>
          <w:rFonts w:ascii="Times New Roman" w:hAnsi="Times New Roman" w:cs="Times New Roman"/>
          <w:sz w:val="23"/>
          <w:szCs w:val="23"/>
        </w:rPr>
        <w:t xml:space="preserve"> such as an </w:t>
      </w:r>
      <w:r w:rsidR="00C93BD5" w:rsidRPr="00FC346C">
        <w:rPr>
          <w:rFonts w:ascii="Times New Roman" w:hAnsi="Times New Roman" w:cs="Times New Roman"/>
          <w:sz w:val="23"/>
          <w:szCs w:val="23"/>
        </w:rPr>
        <w:t>i</w:t>
      </w:r>
      <w:r w:rsidR="00333BC7" w:rsidRPr="00FC346C">
        <w:rPr>
          <w:rFonts w:ascii="Times New Roman" w:hAnsi="Times New Roman" w:cs="Times New Roman"/>
          <w:sz w:val="23"/>
          <w:szCs w:val="23"/>
        </w:rPr>
        <w:t>nter-state transmission project</w:t>
      </w:r>
      <w:r w:rsidRPr="00FC346C">
        <w:rPr>
          <w:rFonts w:ascii="Times New Roman" w:hAnsi="Times New Roman" w:cs="Times New Roman"/>
          <w:sz w:val="23"/>
          <w:szCs w:val="23"/>
        </w:rPr>
        <w:t xml:space="preserve"> as yearly numbers only reflect a very short period investment return of 1 year. </w:t>
      </w:r>
      <w:r w:rsidR="00A07046" w:rsidRPr="00FC346C">
        <w:rPr>
          <w:rFonts w:ascii="Times New Roman" w:hAnsi="Times New Roman" w:cs="Times New Roman"/>
          <w:sz w:val="23"/>
          <w:szCs w:val="23"/>
        </w:rPr>
        <w:t xml:space="preserve">On the contrary, </w:t>
      </w:r>
      <w:r w:rsidRPr="00FC346C">
        <w:rPr>
          <w:rFonts w:ascii="Times New Roman" w:hAnsi="Times New Roman" w:cs="Times New Roman"/>
          <w:sz w:val="23"/>
          <w:szCs w:val="23"/>
        </w:rPr>
        <w:t xml:space="preserve">market returns to be considered for a long term investment should be at least comparable to </w:t>
      </w:r>
      <w:r w:rsidR="00E31544" w:rsidRPr="00FC346C">
        <w:rPr>
          <w:rFonts w:ascii="Times New Roman" w:hAnsi="Times New Roman" w:cs="Times New Roman"/>
          <w:sz w:val="23"/>
          <w:szCs w:val="23"/>
        </w:rPr>
        <w:t xml:space="preserve">the </w:t>
      </w:r>
      <w:r w:rsidRPr="00FC346C">
        <w:rPr>
          <w:rFonts w:ascii="Times New Roman" w:hAnsi="Times New Roman" w:cs="Times New Roman"/>
          <w:sz w:val="23"/>
          <w:szCs w:val="23"/>
        </w:rPr>
        <w:t xml:space="preserve">investment term of the project </w:t>
      </w:r>
      <w:r w:rsidR="009D58FD" w:rsidRPr="00FC346C">
        <w:rPr>
          <w:rFonts w:ascii="Times New Roman" w:hAnsi="Times New Roman" w:cs="Times New Roman"/>
          <w:sz w:val="23"/>
          <w:szCs w:val="23"/>
        </w:rPr>
        <w:t xml:space="preserve">- </w:t>
      </w:r>
      <w:r w:rsidRPr="00FC346C">
        <w:rPr>
          <w:rFonts w:ascii="Times New Roman" w:hAnsi="Times New Roman" w:cs="Times New Roman"/>
          <w:sz w:val="23"/>
          <w:szCs w:val="23"/>
        </w:rPr>
        <w:t xml:space="preserve">which is the life of the project. Therefore, it is suggested that </w:t>
      </w:r>
      <w:r w:rsidR="00032196" w:rsidRPr="00FC346C">
        <w:rPr>
          <w:rFonts w:ascii="Times New Roman" w:hAnsi="Times New Roman" w:cs="Times New Roman"/>
          <w:sz w:val="23"/>
          <w:szCs w:val="23"/>
        </w:rPr>
        <w:t>compound annual growth rate (</w:t>
      </w:r>
      <w:r w:rsidR="00032196" w:rsidRPr="00FC346C">
        <w:rPr>
          <w:rFonts w:ascii="Times New Roman" w:hAnsi="Times New Roman" w:cs="Times New Roman"/>
          <w:b/>
          <w:bCs/>
          <w:sz w:val="23"/>
          <w:szCs w:val="23"/>
        </w:rPr>
        <w:t>CAGR</w:t>
      </w:r>
      <w:r w:rsidR="00032196" w:rsidRPr="00FC346C">
        <w:rPr>
          <w:rFonts w:ascii="Times New Roman" w:hAnsi="Times New Roman" w:cs="Times New Roman"/>
          <w:sz w:val="23"/>
          <w:szCs w:val="23"/>
        </w:rPr>
        <w:t>)</w:t>
      </w:r>
      <w:r w:rsidRPr="00FC346C">
        <w:rPr>
          <w:rFonts w:ascii="Times New Roman" w:hAnsi="Times New Roman" w:cs="Times New Roman"/>
          <w:sz w:val="23"/>
          <w:szCs w:val="23"/>
        </w:rPr>
        <w:t xml:space="preserve"> method be adopted for considering the growth rate which will not only provide a</w:t>
      </w:r>
      <w:r w:rsidR="00D24CCF" w:rsidRPr="00FC346C">
        <w:rPr>
          <w:rFonts w:ascii="Times New Roman" w:hAnsi="Times New Roman" w:cs="Times New Roman"/>
          <w:sz w:val="23"/>
          <w:szCs w:val="23"/>
        </w:rPr>
        <w:t>n accurate</w:t>
      </w:r>
      <w:r w:rsidRPr="00FC346C">
        <w:rPr>
          <w:rFonts w:ascii="Times New Roman" w:hAnsi="Times New Roman" w:cs="Times New Roman"/>
          <w:sz w:val="23"/>
          <w:szCs w:val="23"/>
        </w:rPr>
        <w:t xml:space="preserve"> reflection of </w:t>
      </w:r>
      <w:r w:rsidR="00EB54F8" w:rsidRPr="00FC346C">
        <w:rPr>
          <w:rFonts w:ascii="Times New Roman" w:hAnsi="Times New Roman" w:cs="Times New Roman"/>
          <w:sz w:val="23"/>
          <w:szCs w:val="23"/>
        </w:rPr>
        <w:t>Rm</w:t>
      </w:r>
      <w:r w:rsidRPr="00FC346C">
        <w:rPr>
          <w:rFonts w:ascii="Times New Roman" w:hAnsi="Times New Roman" w:cs="Times New Roman"/>
          <w:sz w:val="23"/>
          <w:szCs w:val="23"/>
        </w:rPr>
        <w:t xml:space="preserve"> for long term investments</w:t>
      </w:r>
      <w:r w:rsidR="00D60A56" w:rsidRPr="00FC346C">
        <w:rPr>
          <w:rFonts w:ascii="Times New Roman" w:hAnsi="Times New Roman" w:cs="Times New Roman"/>
          <w:sz w:val="23"/>
          <w:szCs w:val="23"/>
        </w:rPr>
        <w:t xml:space="preserve"> (over a 35 year term)</w:t>
      </w:r>
      <w:r w:rsidRPr="00FC346C">
        <w:rPr>
          <w:rFonts w:ascii="Times New Roman" w:hAnsi="Times New Roman" w:cs="Times New Roman"/>
          <w:sz w:val="23"/>
          <w:szCs w:val="23"/>
        </w:rPr>
        <w:t xml:space="preserve"> but also will </w:t>
      </w:r>
      <w:r w:rsidR="00032196" w:rsidRPr="00FC346C">
        <w:rPr>
          <w:rFonts w:ascii="Times New Roman" w:hAnsi="Times New Roman" w:cs="Times New Roman"/>
          <w:sz w:val="23"/>
          <w:szCs w:val="23"/>
        </w:rPr>
        <w:t>eliminate</w:t>
      </w:r>
      <w:r w:rsidRPr="00FC346C">
        <w:rPr>
          <w:rFonts w:ascii="Times New Roman" w:hAnsi="Times New Roman" w:cs="Times New Roman"/>
          <w:sz w:val="23"/>
          <w:szCs w:val="23"/>
        </w:rPr>
        <w:t xml:space="preserve"> the yearly abnormalities.</w:t>
      </w:r>
    </w:p>
    <w:p w14:paraId="78B10BCC" w14:textId="77777777" w:rsidR="008D22EA" w:rsidRPr="00FC346C" w:rsidRDefault="008D22EA" w:rsidP="00352DD7">
      <w:pPr>
        <w:pStyle w:val="ListParagraph"/>
        <w:spacing w:after="0" w:line="360" w:lineRule="auto"/>
        <w:ind w:left="786"/>
        <w:jc w:val="both"/>
        <w:rPr>
          <w:rFonts w:ascii="Times New Roman" w:hAnsi="Times New Roman" w:cs="Times New Roman"/>
          <w:sz w:val="23"/>
          <w:szCs w:val="23"/>
        </w:rPr>
      </w:pPr>
    </w:p>
    <w:p w14:paraId="326DFAA9" w14:textId="5EAA0190" w:rsidR="00B85A40" w:rsidRPr="00FC346C" w:rsidRDefault="00CF4273" w:rsidP="00352DD7">
      <w:pPr>
        <w:pStyle w:val="ListParagraph"/>
        <w:numPr>
          <w:ilvl w:val="1"/>
          <w:numId w:val="1"/>
        </w:numPr>
        <w:spacing w:after="0" w:line="360" w:lineRule="auto"/>
        <w:jc w:val="both"/>
        <w:rPr>
          <w:rFonts w:ascii="Times New Roman" w:hAnsi="Times New Roman" w:cs="Times New Roman"/>
          <w:sz w:val="23"/>
          <w:szCs w:val="23"/>
        </w:rPr>
      </w:pPr>
      <w:r w:rsidRPr="00FC346C">
        <w:rPr>
          <w:rFonts w:ascii="Times New Roman" w:hAnsi="Times New Roman" w:cs="Times New Roman"/>
          <w:sz w:val="23"/>
          <w:szCs w:val="23"/>
        </w:rPr>
        <w:t xml:space="preserve">The annual growth </w:t>
      </w:r>
      <w:r w:rsidR="00B85A40" w:rsidRPr="00FC346C">
        <w:rPr>
          <w:rFonts w:ascii="Times New Roman" w:hAnsi="Times New Roman" w:cs="Times New Roman"/>
          <w:sz w:val="23"/>
          <w:szCs w:val="23"/>
        </w:rPr>
        <w:t xml:space="preserve">rate </w:t>
      </w:r>
      <w:r w:rsidRPr="00FC346C">
        <w:rPr>
          <w:rFonts w:ascii="Times New Roman" w:hAnsi="Times New Roman" w:cs="Times New Roman"/>
          <w:sz w:val="23"/>
          <w:szCs w:val="23"/>
        </w:rPr>
        <w:t>considered for BSE Sensex seems to be incorrect especially when there is no computation methodology specified/</w:t>
      </w:r>
      <w:r w:rsidR="00EB54F8" w:rsidRPr="00FC346C">
        <w:rPr>
          <w:rFonts w:ascii="Times New Roman" w:hAnsi="Times New Roman" w:cs="Times New Roman"/>
          <w:sz w:val="23"/>
          <w:szCs w:val="23"/>
        </w:rPr>
        <w:t xml:space="preserve"> </w:t>
      </w:r>
      <w:r w:rsidRPr="00FC346C">
        <w:rPr>
          <w:rFonts w:ascii="Times New Roman" w:hAnsi="Times New Roman" w:cs="Times New Roman"/>
          <w:sz w:val="23"/>
          <w:szCs w:val="23"/>
        </w:rPr>
        <w:t>described. In fact, the annual growth rate needs to be computed based on variation between the opening value as on 1</w:t>
      </w:r>
      <w:r w:rsidRPr="00FC346C">
        <w:rPr>
          <w:rFonts w:ascii="Times New Roman" w:hAnsi="Times New Roman" w:cs="Times New Roman"/>
          <w:sz w:val="23"/>
          <w:szCs w:val="23"/>
          <w:vertAlign w:val="superscript"/>
        </w:rPr>
        <w:t>st</w:t>
      </w:r>
      <w:r w:rsidRPr="00FC346C">
        <w:rPr>
          <w:rFonts w:ascii="Times New Roman" w:hAnsi="Times New Roman" w:cs="Times New Roman"/>
          <w:sz w:val="23"/>
          <w:szCs w:val="23"/>
        </w:rPr>
        <w:t xml:space="preserve"> day of the financial year </w:t>
      </w:r>
      <w:r w:rsidRPr="00FC346C">
        <w:rPr>
          <w:rFonts w:ascii="Times New Roman" w:hAnsi="Times New Roman" w:cs="Times New Roman"/>
          <w:i/>
          <w:iCs/>
          <w:sz w:val="23"/>
          <w:szCs w:val="23"/>
        </w:rPr>
        <w:t>vis-à-vis</w:t>
      </w:r>
      <w:r w:rsidRPr="00FC346C">
        <w:rPr>
          <w:rFonts w:ascii="Times New Roman" w:hAnsi="Times New Roman" w:cs="Times New Roman"/>
          <w:sz w:val="23"/>
          <w:szCs w:val="23"/>
        </w:rPr>
        <w:t xml:space="preserve"> last closing value as on last day of the respective financial year. The same has been computed by </w:t>
      </w:r>
      <w:r w:rsidR="00EA0F61" w:rsidRPr="00FC346C">
        <w:rPr>
          <w:rFonts w:ascii="Times New Roman" w:hAnsi="Times New Roman" w:cs="Times New Roman"/>
          <w:sz w:val="23"/>
          <w:szCs w:val="23"/>
        </w:rPr>
        <w:t>me</w:t>
      </w:r>
      <w:r w:rsidRPr="00FC346C">
        <w:rPr>
          <w:rFonts w:ascii="Times New Roman" w:hAnsi="Times New Roman" w:cs="Times New Roman"/>
          <w:sz w:val="23"/>
          <w:szCs w:val="23"/>
        </w:rPr>
        <w:t xml:space="preserve"> and the same seems to be in variance with the numbers computed by </w:t>
      </w:r>
      <w:r w:rsidR="00C93BD5" w:rsidRPr="00FC346C">
        <w:rPr>
          <w:rFonts w:ascii="Times New Roman" w:hAnsi="Times New Roman" w:cs="Times New Roman"/>
          <w:sz w:val="23"/>
          <w:szCs w:val="23"/>
        </w:rPr>
        <w:t>this Hon’ble Commission</w:t>
      </w:r>
      <w:r w:rsidR="00A65B36" w:rsidRPr="00FC346C">
        <w:rPr>
          <w:rFonts w:ascii="Times New Roman" w:hAnsi="Times New Roman" w:cs="Times New Roman"/>
          <w:sz w:val="23"/>
          <w:szCs w:val="23"/>
        </w:rPr>
        <w:t xml:space="preserve"> as per the EM</w:t>
      </w:r>
      <w:r w:rsidRPr="00FC346C">
        <w:rPr>
          <w:rFonts w:ascii="Times New Roman" w:hAnsi="Times New Roman" w:cs="Times New Roman"/>
          <w:sz w:val="23"/>
          <w:szCs w:val="23"/>
        </w:rPr>
        <w:t xml:space="preserve">. </w:t>
      </w:r>
    </w:p>
    <w:p w14:paraId="3917A955" w14:textId="77777777" w:rsidR="00B85A40" w:rsidRPr="00FC346C" w:rsidRDefault="00B85A40" w:rsidP="00C93BD5">
      <w:pPr>
        <w:pStyle w:val="ListParagraph"/>
        <w:rPr>
          <w:rFonts w:ascii="Times New Roman" w:hAnsi="Times New Roman" w:cs="Times New Roman"/>
          <w:sz w:val="23"/>
          <w:szCs w:val="23"/>
        </w:rPr>
      </w:pPr>
    </w:p>
    <w:p w14:paraId="6D371DEE" w14:textId="56BC3AD7" w:rsidR="00CF4273" w:rsidRPr="00FC346C" w:rsidRDefault="00CF4273" w:rsidP="00C93BD5">
      <w:pPr>
        <w:pStyle w:val="ListParagraph"/>
        <w:spacing w:after="0" w:line="360" w:lineRule="auto"/>
        <w:ind w:left="786"/>
        <w:jc w:val="both"/>
        <w:rPr>
          <w:rFonts w:ascii="Times New Roman" w:hAnsi="Times New Roman" w:cs="Times New Roman"/>
          <w:sz w:val="23"/>
          <w:szCs w:val="23"/>
        </w:rPr>
      </w:pPr>
      <w:r w:rsidRPr="00FC346C">
        <w:rPr>
          <w:rFonts w:ascii="Times New Roman" w:hAnsi="Times New Roman" w:cs="Times New Roman"/>
          <w:sz w:val="23"/>
          <w:szCs w:val="23"/>
        </w:rPr>
        <w:t>The above-mentioned issue</w:t>
      </w:r>
      <w:r w:rsidR="00A65B36" w:rsidRPr="00FC346C">
        <w:rPr>
          <w:rFonts w:ascii="Times New Roman" w:hAnsi="Times New Roman" w:cs="Times New Roman"/>
          <w:sz w:val="23"/>
          <w:szCs w:val="23"/>
        </w:rPr>
        <w:t>s</w:t>
      </w:r>
      <w:r w:rsidRPr="00FC346C">
        <w:rPr>
          <w:rFonts w:ascii="Times New Roman" w:hAnsi="Times New Roman" w:cs="Times New Roman"/>
          <w:sz w:val="23"/>
          <w:szCs w:val="23"/>
        </w:rPr>
        <w:t xml:space="preserve"> </w:t>
      </w:r>
      <w:r w:rsidR="008D22EA" w:rsidRPr="00FC346C">
        <w:rPr>
          <w:rFonts w:ascii="Times New Roman" w:hAnsi="Times New Roman" w:cs="Times New Roman"/>
          <w:sz w:val="23"/>
          <w:szCs w:val="23"/>
        </w:rPr>
        <w:t>are</w:t>
      </w:r>
      <w:r w:rsidRPr="00FC346C">
        <w:rPr>
          <w:rFonts w:ascii="Times New Roman" w:hAnsi="Times New Roman" w:cs="Times New Roman"/>
          <w:sz w:val="23"/>
          <w:szCs w:val="23"/>
        </w:rPr>
        <w:t xml:space="preserve"> described</w:t>
      </w:r>
      <w:r w:rsidR="00B85A40" w:rsidRPr="00FC346C">
        <w:rPr>
          <w:rFonts w:ascii="Times New Roman" w:hAnsi="Times New Roman" w:cs="Times New Roman"/>
          <w:sz w:val="23"/>
          <w:szCs w:val="23"/>
        </w:rPr>
        <w:t xml:space="preserve"> in further detail</w:t>
      </w:r>
      <w:r w:rsidRPr="00FC346C">
        <w:rPr>
          <w:rFonts w:ascii="Times New Roman" w:hAnsi="Times New Roman" w:cs="Times New Roman"/>
          <w:sz w:val="23"/>
          <w:szCs w:val="23"/>
        </w:rPr>
        <w:t xml:space="preserve"> </w:t>
      </w:r>
      <w:r w:rsidR="008D22EA" w:rsidRPr="00FC346C">
        <w:rPr>
          <w:rFonts w:ascii="Times New Roman" w:hAnsi="Times New Roman" w:cs="Times New Roman"/>
          <w:sz w:val="23"/>
          <w:szCs w:val="23"/>
        </w:rPr>
        <w:t>below.</w:t>
      </w:r>
      <w:r w:rsidRPr="00FC346C">
        <w:rPr>
          <w:rFonts w:ascii="Times New Roman" w:hAnsi="Times New Roman" w:cs="Times New Roman"/>
          <w:sz w:val="23"/>
          <w:szCs w:val="23"/>
        </w:rPr>
        <w:t xml:space="preserve"> </w:t>
      </w:r>
    </w:p>
    <w:p w14:paraId="1C77B5E2" w14:textId="77777777" w:rsidR="008D22EA" w:rsidRPr="00FC346C" w:rsidRDefault="008D22EA" w:rsidP="00352DD7">
      <w:pPr>
        <w:pStyle w:val="ListParagraph"/>
        <w:spacing w:after="0" w:line="360" w:lineRule="auto"/>
        <w:ind w:left="426"/>
        <w:jc w:val="both"/>
        <w:rPr>
          <w:rFonts w:ascii="Times New Roman" w:hAnsi="Times New Roman" w:cs="Times New Roman"/>
          <w:b/>
          <w:i/>
          <w:sz w:val="23"/>
          <w:szCs w:val="23"/>
          <w:u w:val="single"/>
        </w:rPr>
      </w:pPr>
    </w:p>
    <w:p w14:paraId="76841D55" w14:textId="3B0ACE73" w:rsidR="00CF4273" w:rsidRPr="00FC346C" w:rsidRDefault="008D22EA" w:rsidP="00352DD7">
      <w:pPr>
        <w:pStyle w:val="ListParagraph"/>
        <w:spacing w:after="0" w:line="360" w:lineRule="auto"/>
        <w:ind w:left="426"/>
        <w:jc w:val="both"/>
        <w:rPr>
          <w:rFonts w:ascii="Times New Roman" w:hAnsi="Times New Roman" w:cs="Times New Roman"/>
          <w:b/>
          <w:i/>
          <w:sz w:val="23"/>
          <w:szCs w:val="23"/>
        </w:rPr>
      </w:pPr>
      <w:r w:rsidRPr="00FC346C">
        <w:rPr>
          <w:rFonts w:ascii="Times New Roman" w:hAnsi="Times New Roman" w:cs="Times New Roman"/>
          <w:b/>
          <w:i/>
          <w:sz w:val="23"/>
          <w:szCs w:val="23"/>
        </w:rPr>
        <w:t>My calculation of</w:t>
      </w:r>
      <w:r w:rsidR="00CF4273" w:rsidRPr="00FC346C">
        <w:rPr>
          <w:rFonts w:ascii="Times New Roman" w:hAnsi="Times New Roman" w:cs="Times New Roman"/>
          <w:b/>
          <w:i/>
          <w:sz w:val="23"/>
          <w:szCs w:val="23"/>
        </w:rPr>
        <w:t xml:space="preserve"> Market Return (Rm) vis-à-vis </w:t>
      </w:r>
      <w:r w:rsidRPr="00FC346C">
        <w:rPr>
          <w:rFonts w:ascii="Times New Roman" w:hAnsi="Times New Roman" w:cs="Times New Roman"/>
          <w:b/>
          <w:i/>
          <w:sz w:val="23"/>
          <w:szCs w:val="23"/>
        </w:rPr>
        <w:t xml:space="preserve">Market Return (Rm) calculated by </w:t>
      </w:r>
      <w:r w:rsidR="00C93BD5" w:rsidRPr="00FC346C">
        <w:rPr>
          <w:rFonts w:ascii="Times New Roman" w:hAnsi="Times New Roman" w:cs="Times New Roman"/>
          <w:b/>
          <w:i/>
          <w:sz w:val="23"/>
          <w:szCs w:val="23"/>
        </w:rPr>
        <w:t>this Hon’ble Commission</w:t>
      </w:r>
      <w:r w:rsidRPr="00FC346C">
        <w:rPr>
          <w:rFonts w:ascii="Times New Roman" w:hAnsi="Times New Roman" w:cs="Times New Roman"/>
          <w:b/>
          <w:i/>
          <w:sz w:val="23"/>
          <w:szCs w:val="23"/>
        </w:rPr>
        <w:t xml:space="preserve"> in the EM </w:t>
      </w:r>
    </w:p>
    <w:p w14:paraId="75A6F349" w14:textId="77777777" w:rsidR="008D22EA" w:rsidRPr="00FC346C" w:rsidRDefault="008D22EA" w:rsidP="00352DD7">
      <w:pPr>
        <w:pStyle w:val="ListParagraph"/>
        <w:tabs>
          <w:tab w:val="left" w:pos="1276"/>
        </w:tabs>
        <w:spacing w:after="0" w:line="360" w:lineRule="auto"/>
        <w:ind w:left="1276"/>
        <w:jc w:val="both"/>
        <w:rPr>
          <w:rFonts w:ascii="Times New Roman" w:hAnsi="Times New Roman" w:cs="Times New Roman"/>
          <w:sz w:val="23"/>
          <w:szCs w:val="23"/>
        </w:rPr>
      </w:pPr>
    </w:p>
    <w:p w14:paraId="4566390B" w14:textId="29B306B7" w:rsidR="00CF4273" w:rsidRPr="00FC346C" w:rsidRDefault="00C93BD5" w:rsidP="00352DD7">
      <w:pPr>
        <w:pStyle w:val="ListParagraph"/>
        <w:numPr>
          <w:ilvl w:val="0"/>
          <w:numId w:val="1"/>
        </w:numPr>
        <w:spacing w:after="0" w:line="360" w:lineRule="auto"/>
        <w:ind w:left="426" w:hanging="426"/>
        <w:jc w:val="both"/>
        <w:rPr>
          <w:rFonts w:ascii="Times New Roman" w:hAnsi="Times New Roman" w:cs="Times New Roman"/>
          <w:sz w:val="23"/>
          <w:szCs w:val="23"/>
        </w:rPr>
      </w:pPr>
      <w:r w:rsidRPr="00FC346C">
        <w:rPr>
          <w:rFonts w:ascii="Times New Roman" w:hAnsi="Times New Roman" w:cs="Times New Roman"/>
          <w:sz w:val="23"/>
          <w:szCs w:val="23"/>
        </w:rPr>
        <w:t xml:space="preserve">This Hon’ble Commission </w:t>
      </w:r>
      <w:r w:rsidR="00CF4273" w:rsidRPr="00FC346C">
        <w:rPr>
          <w:rFonts w:ascii="Times New Roman" w:hAnsi="Times New Roman" w:cs="Times New Roman"/>
          <w:sz w:val="23"/>
          <w:szCs w:val="23"/>
        </w:rPr>
        <w:t>has adopted the average annual growth rate of the BSE Sensex from FY 1992</w:t>
      </w:r>
      <w:r w:rsidR="00A65B36" w:rsidRPr="00FC346C">
        <w:rPr>
          <w:rFonts w:ascii="Times New Roman" w:hAnsi="Times New Roman" w:cs="Times New Roman"/>
          <w:sz w:val="23"/>
          <w:szCs w:val="23"/>
        </w:rPr>
        <w:t>-93</w:t>
      </w:r>
      <w:r w:rsidR="00CF4273" w:rsidRPr="00FC346C">
        <w:rPr>
          <w:rFonts w:ascii="Times New Roman" w:hAnsi="Times New Roman" w:cs="Times New Roman"/>
          <w:sz w:val="23"/>
          <w:szCs w:val="23"/>
        </w:rPr>
        <w:t xml:space="preserve"> to FY 2023</w:t>
      </w:r>
      <w:r w:rsidR="00A65B36" w:rsidRPr="00FC346C">
        <w:rPr>
          <w:rFonts w:ascii="Times New Roman" w:hAnsi="Times New Roman" w:cs="Times New Roman"/>
          <w:sz w:val="23"/>
          <w:szCs w:val="23"/>
        </w:rPr>
        <w:t>-2</w:t>
      </w:r>
      <w:r w:rsidR="0051333B" w:rsidRPr="00FC346C">
        <w:rPr>
          <w:rFonts w:ascii="Times New Roman" w:hAnsi="Times New Roman" w:cs="Times New Roman"/>
          <w:sz w:val="23"/>
          <w:szCs w:val="23"/>
        </w:rPr>
        <w:t>4</w:t>
      </w:r>
      <w:r w:rsidR="00CF4273" w:rsidRPr="00FC346C">
        <w:rPr>
          <w:rFonts w:ascii="Times New Roman" w:hAnsi="Times New Roman" w:cs="Times New Roman"/>
          <w:sz w:val="23"/>
          <w:szCs w:val="23"/>
        </w:rPr>
        <w:t xml:space="preserve"> as the baseline for the risk premium rate. The graph below illustrates the</w:t>
      </w:r>
      <w:r w:rsidR="0051333B" w:rsidRPr="00FC346C">
        <w:rPr>
          <w:rFonts w:ascii="Times New Roman" w:hAnsi="Times New Roman" w:cs="Times New Roman"/>
          <w:sz w:val="23"/>
          <w:szCs w:val="23"/>
        </w:rPr>
        <w:t xml:space="preserve"> annual growth rates of the BSE Sensex considered by </w:t>
      </w:r>
      <w:r w:rsidR="00FE6E67" w:rsidRPr="00FC346C">
        <w:rPr>
          <w:rFonts w:ascii="Times New Roman" w:hAnsi="Times New Roman" w:cs="Times New Roman"/>
          <w:sz w:val="23"/>
          <w:szCs w:val="23"/>
        </w:rPr>
        <w:t>this Hon’ble Commission</w:t>
      </w:r>
      <w:r w:rsidR="0051333B" w:rsidRPr="00FC346C">
        <w:rPr>
          <w:rFonts w:ascii="Times New Roman" w:hAnsi="Times New Roman" w:cs="Times New Roman"/>
          <w:sz w:val="23"/>
          <w:szCs w:val="23"/>
        </w:rPr>
        <w:t xml:space="preserve">. </w:t>
      </w:r>
      <w:r w:rsidR="00CF4273" w:rsidRPr="00FC346C">
        <w:rPr>
          <w:rFonts w:ascii="Times New Roman" w:hAnsi="Times New Roman" w:cs="Times New Roman"/>
          <w:sz w:val="23"/>
          <w:szCs w:val="23"/>
        </w:rPr>
        <w:t xml:space="preserve"> </w:t>
      </w:r>
    </w:p>
    <w:p w14:paraId="4A69B1EE" w14:textId="5852D6AC" w:rsidR="0051333B" w:rsidRPr="00FC346C" w:rsidRDefault="0051333B" w:rsidP="00352DD7">
      <w:pPr>
        <w:spacing w:after="0" w:line="360" w:lineRule="auto"/>
        <w:ind w:firstLine="709"/>
        <w:jc w:val="center"/>
        <w:rPr>
          <w:rFonts w:ascii="Times New Roman" w:hAnsi="Times New Roman" w:cs="Times New Roman"/>
          <w:i/>
          <w:sz w:val="23"/>
          <w:szCs w:val="23"/>
        </w:rPr>
      </w:pPr>
      <w:r w:rsidRPr="00FC346C">
        <w:rPr>
          <w:rFonts w:ascii="Times New Roman" w:hAnsi="Times New Roman" w:cs="Times New Roman"/>
          <w:noProof/>
          <w:sz w:val="23"/>
          <w:szCs w:val="23"/>
          <w:lang w:eastAsia="en-IN"/>
        </w:rPr>
        <w:drawing>
          <wp:anchor distT="0" distB="0" distL="114300" distR="114300" simplePos="0" relativeHeight="251659264" behindDoc="0" locked="0" layoutInCell="1" allowOverlap="1" wp14:anchorId="6DF941BC" wp14:editId="4CD02C15">
            <wp:simplePos x="0" y="0"/>
            <wp:positionH relativeFrom="column">
              <wp:posOffset>393700</wp:posOffset>
            </wp:positionH>
            <wp:positionV relativeFrom="paragraph">
              <wp:posOffset>226695</wp:posOffset>
            </wp:positionV>
            <wp:extent cx="5383530" cy="2475865"/>
            <wp:effectExtent l="0" t="0" r="7620" b="635"/>
            <wp:wrapSquare wrapText="bothSides"/>
            <wp:docPr id="2" name="Picture 2" descr="A graph showing the growth of a stock mar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aph showing the growth of a stock marke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383530" cy="2475865"/>
                    </a:xfrm>
                    <a:prstGeom prst="rect">
                      <a:avLst/>
                    </a:prstGeom>
                  </pic:spPr>
                </pic:pic>
              </a:graphicData>
            </a:graphic>
            <wp14:sizeRelH relativeFrom="page">
              <wp14:pctWidth>0</wp14:pctWidth>
            </wp14:sizeRelH>
            <wp14:sizeRelV relativeFrom="page">
              <wp14:pctHeight>0</wp14:pctHeight>
            </wp14:sizeRelV>
          </wp:anchor>
        </w:drawing>
      </w:r>
    </w:p>
    <w:p w14:paraId="7DA73BE0" w14:textId="748FC446" w:rsidR="00CF4273" w:rsidRPr="00FC346C" w:rsidRDefault="00CF4273" w:rsidP="00352DD7">
      <w:pPr>
        <w:spacing w:after="0" w:line="360" w:lineRule="auto"/>
        <w:jc w:val="center"/>
        <w:rPr>
          <w:rFonts w:ascii="Times New Roman" w:hAnsi="Times New Roman" w:cs="Times New Roman"/>
          <w:i/>
          <w:sz w:val="23"/>
          <w:szCs w:val="23"/>
        </w:rPr>
      </w:pPr>
      <w:r w:rsidRPr="00FC346C">
        <w:rPr>
          <w:rFonts w:ascii="Times New Roman" w:hAnsi="Times New Roman" w:cs="Times New Roman"/>
          <w:i/>
          <w:sz w:val="23"/>
          <w:szCs w:val="23"/>
        </w:rPr>
        <w:t xml:space="preserve">Source: </w:t>
      </w:r>
      <w:r w:rsidR="00CD0709" w:rsidRPr="00FC346C">
        <w:rPr>
          <w:rFonts w:ascii="Times New Roman" w:hAnsi="Times New Roman" w:cs="Times New Roman"/>
          <w:i/>
          <w:sz w:val="23"/>
          <w:szCs w:val="23"/>
        </w:rPr>
        <w:t>EM of Draft Regulations</w:t>
      </w:r>
    </w:p>
    <w:p w14:paraId="1793583F" w14:textId="77777777" w:rsidR="008158E1" w:rsidRPr="00FC346C" w:rsidRDefault="008158E1" w:rsidP="00352DD7">
      <w:pPr>
        <w:pStyle w:val="ListParagraph"/>
        <w:spacing w:after="0" w:line="360" w:lineRule="auto"/>
        <w:ind w:left="426"/>
        <w:jc w:val="both"/>
        <w:rPr>
          <w:rFonts w:ascii="Times New Roman" w:hAnsi="Times New Roman" w:cs="Times New Roman"/>
          <w:sz w:val="23"/>
          <w:szCs w:val="23"/>
        </w:rPr>
      </w:pPr>
    </w:p>
    <w:p w14:paraId="13B0FB43" w14:textId="0AAD1878" w:rsidR="00CF4273" w:rsidRPr="00FC346C" w:rsidRDefault="00CF4273" w:rsidP="00352DD7">
      <w:pPr>
        <w:pStyle w:val="ListParagraph"/>
        <w:numPr>
          <w:ilvl w:val="0"/>
          <w:numId w:val="1"/>
        </w:numPr>
        <w:spacing w:after="0" w:line="360" w:lineRule="auto"/>
        <w:ind w:left="426" w:hanging="426"/>
        <w:jc w:val="both"/>
        <w:rPr>
          <w:rFonts w:ascii="Times New Roman" w:hAnsi="Times New Roman" w:cs="Times New Roman"/>
          <w:sz w:val="23"/>
          <w:szCs w:val="23"/>
        </w:rPr>
      </w:pPr>
      <w:r w:rsidRPr="00FC346C">
        <w:rPr>
          <w:rFonts w:ascii="Times New Roman" w:hAnsi="Times New Roman" w:cs="Times New Roman"/>
          <w:sz w:val="23"/>
          <w:szCs w:val="23"/>
        </w:rPr>
        <w:t xml:space="preserve">In </w:t>
      </w:r>
      <w:r w:rsidR="00DB3B32" w:rsidRPr="00FC346C">
        <w:rPr>
          <w:rFonts w:ascii="Times New Roman" w:hAnsi="Times New Roman" w:cs="Times New Roman"/>
          <w:sz w:val="23"/>
          <w:szCs w:val="23"/>
        </w:rPr>
        <w:t>my</w:t>
      </w:r>
      <w:r w:rsidRPr="00FC346C">
        <w:rPr>
          <w:rFonts w:ascii="Times New Roman" w:hAnsi="Times New Roman" w:cs="Times New Roman"/>
          <w:sz w:val="23"/>
          <w:szCs w:val="23"/>
        </w:rPr>
        <w:t xml:space="preserve"> evaluative model,</w:t>
      </w:r>
      <w:r w:rsidR="00B946EC" w:rsidRPr="00FC346C">
        <w:rPr>
          <w:rFonts w:ascii="Times New Roman" w:hAnsi="Times New Roman" w:cs="Times New Roman"/>
          <w:sz w:val="23"/>
          <w:szCs w:val="23"/>
        </w:rPr>
        <w:t xml:space="preserve"> I </w:t>
      </w:r>
      <w:r w:rsidRPr="00FC346C">
        <w:rPr>
          <w:rFonts w:ascii="Times New Roman" w:hAnsi="Times New Roman" w:cs="Times New Roman"/>
          <w:sz w:val="23"/>
          <w:szCs w:val="23"/>
        </w:rPr>
        <w:t xml:space="preserve">aimed for a thorough comprehension of the market dynamics by capturing the day-to-day values of the BSE Sensex spanning </w:t>
      </w:r>
      <w:r w:rsidR="00DB3B32" w:rsidRPr="00FC346C">
        <w:rPr>
          <w:rFonts w:ascii="Times New Roman" w:hAnsi="Times New Roman" w:cs="Times New Roman"/>
          <w:sz w:val="23"/>
          <w:szCs w:val="23"/>
        </w:rPr>
        <w:t>FY 1992-93 to FY 2023-24</w:t>
      </w:r>
      <w:r w:rsidRPr="00FC346C">
        <w:rPr>
          <w:rFonts w:ascii="Times New Roman" w:hAnsi="Times New Roman" w:cs="Times New Roman"/>
          <w:sz w:val="23"/>
          <w:szCs w:val="23"/>
        </w:rPr>
        <w:t>. To calculate the annual growth rate of the market,</w:t>
      </w:r>
      <w:r w:rsidR="00B946EC" w:rsidRPr="00FC346C">
        <w:rPr>
          <w:rFonts w:ascii="Times New Roman" w:hAnsi="Times New Roman" w:cs="Times New Roman"/>
          <w:sz w:val="23"/>
          <w:szCs w:val="23"/>
        </w:rPr>
        <w:t xml:space="preserve"> I </w:t>
      </w:r>
      <w:r w:rsidRPr="00FC346C">
        <w:rPr>
          <w:rFonts w:ascii="Times New Roman" w:hAnsi="Times New Roman" w:cs="Times New Roman"/>
          <w:sz w:val="23"/>
          <w:szCs w:val="23"/>
        </w:rPr>
        <w:t>assessed the percentage variation between the opening value on the first day of the financial year and the closing value on the last day of the financial year. For example, in computing the returns for FY 1993,</w:t>
      </w:r>
      <w:r w:rsidR="00B946EC" w:rsidRPr="00FC346C">
        <w:rPr>
          <w:rFonts w:ascii="Times New Roman" w:hAnsi="Times New Roman" w:cs="Times New Roman"/>
          <w:sz w:val="23"/>
          <w:szCs w:val="23"/>
        </w:rPr>
        <w:t xml:space="preserve"> I </w:t>
      </w:r>
      <w:r w:rsidRPr="00FC346C">
        <w:rPr>
          <w:rFonts w:ascii="Times New Roman" w:hAnsi="Times New Roman" w:cs="Times New Roman"/>
          <w:sz w:val="23"/>
          <w:szCs w:val="23"/>
        </w:rPr>
        <w:t xml:space="preserve">considered the opening value on April 2, 1992, and the closing value on March 31, 1993. The annual values and growth rates are outlined in </w:t>
      </w:r>
      <w:r w:rsidRPr="00FC346C">
        <w:rPr>
          <w:rFonts w:ascii="Times New Roman" w:hAnsi="Times New Roman" w:cs="Times New Roman"/>
          <w:b/>
          <w:bCs/>
          <w:sz w:val="23"/>
          <w:szCs w:val="23"/>
        </w:rPr>
        <w:t>Annexure-I</w:t>
      </w:r>
      <w:r w:rsidRPr="00FC346C">
        <w:rPr>
          <w:rFonts w:ascii="Times New Roman" w:hAnsi="Times New Roman" w:cs="Times New Roman"/>
          <w:sz w:val="23"/>
          <w:szCs w:val="23"/>
        </w:rPr>
        <w:t xml:space="preserve">.  </w:t>
      </w:r>
    </w:p>
    <w:p w14:paraId="19C5F895" w14:textId="77777777" w:rsidR="008158E1" w:rsidRPr="00FC346C" w:rsidRDefault="008158E1" w:rsidP="00352DD7">
      <w:pPr>
        <w:pStyle w:val="ListParagraph"/>
        <w:tabs>
          <w:tab w:val="left" w:pos="1276"/>
        </w:tabs>
        <w:spacing w:after="0" w:line="360" w:lineRule="auto"/>
        <w:ind w:left="1276"/>
        <w:jc w:val="both"/>
        <w:rPr>
          <w:rFonts w:ascii="Times New Roman" w:hAnsi="Times New Roman" w:cs="Times New Roman"/>
          <w:sz w:val="23"/>
          <w:szCs w:val="23"/>
        </w:rPr>
      </w:pPr>
    </w:p>
    <w:p w14:paraId="07A3E8A0" w14:textId="28C12C76" w:rsidR="00CF4273" w:rsidRPr="00FC346C" w:rsidRDefault="00CF4273" w:rsidP="00352DD7">
      <w:pPr>
        <w:pStyle w:val="ListParagraph"/>
        <w:numPr>
          <w:ilvl w:val="0"/>
          <w:numId w:val="1"/>
        </w:numPr>
        <w:spacing w:after="0" w:line="360" w:lineRule="auto"/>
        <w:ind w:left="426" w:hanging="426"/>
        <w:jc w:val="both"/>
        <w:rPr>
          <w:rFonts w:ascii="Times New Roman" w:hAnsi="Times New Roman" w:cs="Times New Roman"/>
          <w:sz w:val="23"/>
          <w:szCs w:val="23"/>
        </w:rPr>
      </w:pPr>
      <w:r w:rsidRPr="00FC346C">
        <w:rPr>
          <w:rFonts w:ascii="Times New Roman" w:hAnsi="Times New Roman" w:cs="Times New Roman"/>
          <w:sz w:val="23"/>
          <w:szCs w:val="23"/>
        </w:rPr>
        <w:t xml:space="preserve">The calculated yearly returns for the period FY 1993 – FY 2023 are illustrated in the </w:t>
      </w:r>
      <w:r w:rsidR="008158E1" w:rsidRPr="00FC346C">
        <w:rPr>
          <w:rFonts w:ascii="Times New Roman" w:hAnsi="Times New Roman" w:cs="Times New Roman"/>
          <w:sz w:val="23"/>
          <w:szCs w:val="23"/>
        </w:rPr>
        <w:t xml:space="preserve">following </w:t>
      </w:r>
      <w:r w:rsidRPr="00FC346C">
        <w:rPr>
          <w:rFonts w:ascii="Times New Roman" w:hAnsi="Times New Roman" w:cs="Times New Roman"/>
          <w:sz w:val="23"/>
          <w:szCs w:val="23"/>
        </w:rPr>
        <w:t>graph</w:t>
      </w:r>
      <w:r w:rsidR="008158E1" w:rsidRPr="00FC346C">
        <w:rPr>
          <w:rFonts w:ascii="Times New Roman" w:hAnsi="Times New Roman" w:cs="Times New Roman"/>
          <w:sz w:val="23"/>
          <w:szCs w:val="23"/>
        </w:rPr>
        <w:t>:</w:t>
      </w:r>
    </w:p>
    <w:p w14:paraId="78B1C9D1" w14:textId="77777777" w:rsidR="00FE2F0F" w:rsidRPr="00FC346C" w:rsidRDefault="00FE2F0F" w:rsidP="00FE2F0F">
      <w:pPr>
        <w:pStyle w:val="ListParagraph"/>
        <w:rPr>
          <w:rFonts w:ascii="Times New Roman" w:hAnsi="Times New Roman" w:cs="Times New Roman"/>
          <w:sz w:val="23"/>
          <w:szCs w:val="23"/>
        </w:rPr>
      </w:pPr>
    </w:p>
    <w:p w14:paraId="029A68C4" w14:textId="77777777" w:rsidR="00FE2F0F" w:rsidRPr="00FC346C" w:rsidRDefault="00FE2F0F" w:rsidP="00FE2F0F">
      <w:pPr>
        <w:pStyle w:val="ListParagraph"/>
        <w:spacing w:after="0" w:line="360" w:lineRule="auto"/>
        <w:ind w:left="426"/>
        <w:jc w:val="both"/>
        <w:rPr>
          <w:rFonts w:ascii="Times New Roman" w:hAnsi="Times New Roman" w:cs="Times New Roman"/>
          <w:sz w:val="23"/>
          <w:szCs w:val="23"/>
        </w:rPr>
      </w:pPr>
    </w:p>
    <w:p w14:paraId="361FE6D7" w14:textId="63383F6C" w:rsidR="00CF4273" w:rsidRPr="00FC346C" w:rsidRDefault="00CF4273" w:rsidP="00352DD7">
      <w:pPr>
        <w:spacing w:after="0" w:line="360" w:lineRule="auto"/>
        <w:jc w:val="both"/>
        <w:rPr>
          <w:rFonts w:ascii="Times New Roman" w:hAnsi="Times New Roman" w:cs="Times New Roman"/>
          <w:i/>
          <w:sz w:val="23"/>
          <w:szCs w:val="23"/>
        </w:rPr>
      </w:pPr>
      <w:r w:rsidRPr="00FC346C">
        <w:rPr>
          <w:rFonts w:ascii="Times New Roman" w:hAnsi="Times New Roman" w:cs="Times New Roman"/>
          <w:noProof/>
          <w:sz w:val="23"/>
          <w:szCs w:val="23"/>
          <w:lang w:eastAsia="en-IN"/>
        </w:rPr>
        <w:drawing>
          <wp:anchor distT="0" distB="0" distL="114300" distR="114300" simplePos="0" relativeHeight="251660288" behindDoc="0" locked="0" layoutInCell="1" allowOverlap="1" wp14:anchorId="6D577E68" wp14:editId="7D262EFF">
            <wp:simplePos x="0" y="0"/>
            <wp:positionH relativeFrom="column">
              <wp:posOffset>238760</wp:posOffset>
            </wp:positionH>
            <wp:positionV relativeFrom="paragraph">
              <wp:posOffset>90805</wp:posOffset>
            </wp:positionV>
            <wp:extent cx="5653405" cy="2131060"/>
            <wp:effectExtent l="0" t="0" r="4445" b="2540"/>
            <wp:wrapSquare wrapText="bothSides"/>
            <wp:docPr id="7" name="Picture 7"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aph with numbers and line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53405" cy="2131060"/>
                    </a:xfrm>
                    <a:prstGeom prst="rect">
                      <a:avLst/>
                    </a:prstGeom>
                    <a:noFill/>
                  </pic:spPr>
                </pic:pic>
              </a:graphicData>
            </a:graphic>
            <wp14:sizeRelH relativeFrom="page">
              <wp14:pctWidth>0</wp14:pctWidth>
            </wp14:sizeRelH>
            <wp14:sizeRelV relativeFrom="page">
              <wp14:pctHeight>0</wp14:pctHeight>
            </wp14:sizeRelV>
          </wp:anchor>
        </w:drawing>
      </w:r>
    </w:p>
    <w:p w14:paraId="6EA16F00" w14:textId="47D99DA3" w:rsidR="00CF4273" w:rsidRPr="00FC346C" w:rsidRDefault="00CF4273" w:rsidP="00352DD7">
      <w:pPr>
        <w:pStyle w:val="ListParagraph"/>
        <w:numPr>
          <w:ilvl w:val="0"/>
          <w:numId w:val="1"/>
        </w:numPr>
        <w:spacing w:after="0" w:line="360" w:lineRule="auto"/>
        <w:ind w:left="426" w:hanging="426"/>
        <w:jc w:val="both"/>
        <w:rPr>
          <w:rFonts w:ascii="Times New Roman" w:hAnsi="Times New Roman" w:cs="Times New Roman"/>
          <w:sz w:val="23"/>
          <w:szCs w:val="23"/>
        </w:rPr>
      </w:pPr>
      <w:r w:rsidRPr="00FC346C">
        <w:rPr>
          <w:rFonts w:ascii="Times New Roman" w:hAnsi="Times New Roman" w:cs="Times New Roman"/>
          <w:sz w:val="23"/>
          <w:szCs w:val="23"/>
        </w:rPr>
        <w:t xml:space="preserve">Based on the comprehensive analysis of the BSE Sensex in </w:t>
      </w:r>
      <w:r w:rsidR="00FC3A1C" w:rsidRPr="00FC346C">
        <w:rPr>
          <w:rFonts w:ascii="Times New Roman" w:hAnsi="Times New Roman" w:cs="Times New Roman"/>
          <w:sz w:val="23"/>
          <w:szCs w:val="23"/>
        </w:rPr>
        <w:t xml:space="preserve">the </w:t>
      </w:r>
      <w:proofErr w:type="gramStart"/>
      <w:r w:rsidRPr="00FC346C">
        <w:rPr>
          <w:rFonts w:ascii="Times New Roman" w:hAnsi="Times New Roman" w:cs="Times New Roman"/>
          <w:sz w:val="23"/>
          <w:szCs w:val="23"/>
        </w:rPr>
        <w:t>aforementioned graphical</w:t>
      </w:r>
      <w:proofErr w:type="gramEnd"/>
      <w:r w:rsidRPr="00FC346C">
        <w:rPr>
          <w:rFonts w:ascii="Times New Roman" w:hAnsi="Times New Roman" w:cs="Times New Roman"/>
          <w:sz w:val="23"/>
          <w:szCs w:val="23"/>
        </w:rPr>
        <w:t xml:space="preserve"> representation, it is evident that the annual growth rate of the BSE Sensex exhibits</w:t>
      </w:r>
      <w:r w:rsidR="006B7980" w:rsidRPr="00FC346C">
        <w:rPr>
          <w:rFonts w:ascii="Times New Roman" w:hAnsi="Times New Roman" w:cs="Times New Roman"/>
          <w:sz w:val="23"/>
          <w:szCs w:val="23"/>
        </w:rPr>
        <w:t xml:space="preserve"> large</w:t>
      </w:r>
      <w:r w:rsidRPr="00FC346C">
        <w:rPr>
          <w:rFonts w:ascii="Times New Roman" w:hAnsi="Times New Roman" w:cs="Times New Roman"/>
          <w:sz w:val="23"/>
          <w:szCs w:val="23"/>
        </w:rPr>
        <w:t xml:space="preserve"> variability over the specified period. However, </w:t>
      </w:r>
      <w:r w:rsidR="00FC3A1C" w:rsidRPr="00FC346C">
        <w:rPr>
          <w:rFonts w:ascii="Times New Roman" w:hAnsi="Times New Roman" w:cs="Times New Roman"/>
          <w:sz w:val="23"/>
          <w:szCs w:val="23"/>
        </w:rPr>
        <w:t xml:space="preserve">the </w:t>
      </w:r>
      <w:r w:rsidR="006B7980" w:rsidRPr="00FC346C">
        <w:rPr>
          <w:rFonts w:ascii="Times New Roman" w:hAnsi="Times New Roman" w:cs="Times New Roman"/>
          <w:sz w:val="23"/>
          <w:szCs w:val="23"/>
        </w:rPr>
        <w:t>Hon’ble Commission</w:t>
      </w:r>
      <w:r w:rsidR="006B7980" w:rsidRPr="00FC346C" w:rsidDel="006B7980">
        <w:rPr>
          <w:rFonts w:ascii="Times New Roman" w:hAnsi="Times New Roman" w:cs="Times New Roman"/>
          <w:sz w:val="23"/>
          <w:szCs w:val="23"/>
        </w:rPr>
        <w:t xml:space="preserve"> </w:t>
      </w:r>
      <w:r w:rsidRPr="00FC346C">
        <w:rPr>
          <w:rFonts w:ascii="Times New Roman" w:hAnsi="Times New Roman" w:cs="Times New Roman"/>
          <w:sz w:val="23"/>
          <w:szCs w:val="23"/>
        </w:rPr>
        <w:t xml:space="preserve">has not disclosed its methodology or offered any illustrative examples to explain the derivation of these values as without access to the underlying data, stakeholders </w:t>
      </w:r>
      <w:r w:rsidR="00546149" w:rsidRPr="00FC346C">
        <w:rPr>
          <w:rFonts w:ascii="Times New Roman" w:hAnsi="Times New Roman" w:cs="Times New Roman"/>
          <w:sz w:val="23"/>
          <w:szCs w:val="23"/>
        </w:rPr>
        <w:t xml:space="preserve">cannot verify the </w:t>
      </w:r>
      <w:r w:rsidR="00D97528" w:rsidRPr="00FC346C">
        <w:rPr>
          <w:rFonts w:ascii="Times New Roman" w:hAnsi="Times New Roman" w:cs="Times New Roman"/>
          <w:sz w:val="23"/>
          <w:szCs w:val="23"/>
        </w:rPr>
        <w:t>reliability of the data being relied upon by the Hon’ble Commission</w:t>
      </w:r>
      <w:r w:rsidRPr="00FC346C">
        <w:rPr>
          <w:rFonts w:ascii="Times New Roman" w:hAnsi="Times New Roman" w:cs="Times New Roman"/>
          <w:sz w:val="23"/>
          <w:szCs w:val="23"/>
        </w:rPr>
        <w:t>.</w:t>
      </w:r>
      <w:r w:rsidR="00232048" w:rsidRPr="00FC346C">
        <w:rPr>
          <w:rFonts w:ascii="Times New Roman" w:hAnsi="Times New Roman" w:cs="Times New Roman"/>
          <w:sz w:val="23"/>
          <w:szCs w:val="23"/>
        </w:rPr>
        <w:t xml:space="preserve"> The Hon’ble Commission may consider including a detailed explanation of its computation methodology in the Statement of Reasons accompanying the Tariff Regulations. </w:t>
      </w:r>
    </w:p>
    <w:p w14:paraId="1750C6DE" w14:textId="77777777" w:rsidR="00FC3A1C" w:rsidRPr="00FC346C" w:rsidRDefault="00FC3A1C" w:rsidP="00352DD7">
      <w:pPr>
        <w:tabs>
          <w:tab w:val="left" w:pos="1276"/>
        </w:tabs>
        <w:spacing w:after="0" w:line="360" w:lineRule="auto"/>
        <w:jc w:val="both"/>
        <w:rPr>
          <w:rFonts w:ascii="Times New Roman" w:hAnsi="Times New Roman" w:cs="Times New Roman"/>
          <w:b/>
          <w:sz w:val="23"/>
          <w:szCs w:val="23"/>
          <w:u w:val="single"/>
        </w:rPr>
      </w:pPr>
    </w:p>
    <w:p w14:paraId="422C371B" w14:textId="3768466A" w:rsidR="00CF4273" w:rsidRPr="00FC346C" w:rsidRDefault="00FC3A1C" w:rsidP="00352DD7">
      <w:pPr>
        <w:tabs>
          <w:tab w:val="left" w:pos="1276"/>
        </w:tabs>
        <w:spacing w:after="0" w:line="360" w:lineRule="auto"/>
        <w:jc w:val="both"/>
        <w:rPr>
          <w:rFonts w:ascii="Times New Roman" w:hAnsi="Times New Roman" w:cs="Times New Roman"/>
          <w:i/>
          <w:iCs/>
          <w:sz w:val="23"/>
          <w:szCs w:val="23"/>
        </w:rPr>
      </w:pPr>
      <w:r w:rsidRPr="00FC346C">
        <w:rPr>
          <w:rFonts w:ascii="Times New Roman" w:hAnsi="Times New Roman" w:cs="Times New Roman"/>
          <w:b/>
          <w:i/>
          <w:iCs/>
          <w:sz w:val="23"/>
          <w:szCs w:val="23"/>
        </w:rPr>
        <w:t>My computation of RoE</w:t>
      </w:r>
    </w:p>
    <w:p w14:paraId="4129C997" w14:textId="77777777" w:rsidR="00FC3A1C" w:rsidRPr="00FC346C" w:rsidRDefault="00FC3A1C" w:rsidP="00352DD7">
      <w:pPr>
        <w:pStyle w:val="ListParagraph"/>
        <w:spacing w:after="0" w:line="360" w:lineRule="auto"/>
        <w:ind w:left="426"/>
        <w:jc w:val="both"/>
        <w:rPr>
          <w:rFonts w:ascii="Times New Roman" w:hAnsi="Times New Roman" w:cs="Times New Roman"/>
          <w:sz w:val="23"/>
          <w:szCs w:val="23"/>
        </w:rPr>
      </w:pPr>
    </w:p>
    <w:p w14:paraId="354AD410" w14:textId="02816171" w:rsidR="00CF4273" w:rsidRPr="00FC346C" w:rsidRDefault="00CF4273" w:rsidP="00352DD7">
      <w:pPr>
        <w:pStyle w:val="ListParagraph"/>
        <w:numPr>
          <w:ilvl w:val="0"/>
          <w:numId w:val="1"/>
        </w:numPr>
        <w:spacing w:after="0" w:line="360" w:lineRule="auto"/>
        <w:ind w:left="426" w:hanging="426"/>
        <w:jc w:val="both"/>
        <w:rPr>
          <w:rFonts w:ascii="Times New Roman" w:hAnsi="Times New Roman" w:cs="Times New Roman"/>
          <w:sz w:val="23"/>
          <w:szCs w:val="23"/>
        </w:rPr>
      </w:pPr>
      <w:r w:rsidRPr="00FC346C">
        <w:rPr>
          <w:rFonts w:ascii="Times New Roman" w:hAnsi="Times New Roman" w:cs="Times New Roman"/>
          <w:sz w:val="23"/>
          <w:szCs w:val="23"/>
        </w:rPr>
        <w:t>Based on the above observations,</w:t>
      </w:r>
      <w:r w:rsidR="00B946EC" w:rsidRPr="00FC346C">
        <w:rPr>
          <w:rFonts w:ascii="Times New Roman" w:hAnsi="Times New Roman" w:cs="Times New Roman"/>
          <w:sz w:val="23"/>
          <w:szCs w:val="23"/>
        </w:rPr>
        <w:t xml:space="preserve"> I </w:t>
      </w:r>
      <w:r w:rsidRPr="00FC346C">
        <w:rPr>
          <w:rFonts w:ascii="Times New Roman" w:hAnsi="Times New Roman" w:cs="Times New Roman"/>
          <w:sz w:val="23"/>
          <w:szCs w:val="23"/>
        </w:rPr>
        <w:t xml:space="preserve">have computed the </w:t>
      </w:r>
      <w:r w:rsidR="007907C9" w:rsidRPr="00FC346C">
        <w:rPr>
          <w:rFonts w:ascii="Times New Roman" w:hAnsi="Times New Roman" w:cs="Times New Roman"/>
          <w:sz w:val="23"/>
          <w:szCs w:val="23"/>
        </w:rPr>
        <w:t>r</w:t>
      </w:r>
      <w:r w:rsidRPr="00FC346C">
        <w:rPr>
          <w:rFonts w:ascii="Times New Roman" w:hAnsi="Times New Roman" w:cs="Times New Roman"/>
          <w:sz w:val="23"/>
          <w:szCs w:val="23"/>
        </w:rPr>
        <w:t>ate of R</w:t>
      </w:r>
      <w:r w:rsidR="007907C9" w:rsidRPr="00FC346C">
        <w:rPr>
          <w:rFonts w:ascii="Times New Roman" w:hAnsi="Times New Roman" w:cs="Times New Roman"/>
          <w:sz w:val="23"/>
          <w:szCs w:val="23"/>
        </w:rPr>
        <w:t>oE</w:t>
      </w:r>
      <w:r w:rsidRPr="00FC346C">
        <w:rPr>
          <w:rFonts w:ascii="Times New Roman" w:hAnsi="Times New Roman" w:cs="Times New Roman"/>
          <w:sz w:val="23"/>
          <w:szCs w:val="23"/>
        </w:rPr>
        <w:t xml:space="preserve"> based on CAPM model for the consideration of the </w:t>
      </w:r>
      <w:r w:rsidR="009333ED" w:rsidRPr="00FC346C">
        <w:rPr>
          <w:rFonts w:ascii="Times New Roman" w:hAnsi="Times New Roman" w:cs="Times New Roman"/>
          <w:sz w:val="23"/>
          <w:szCs w:val="23"/>
        </w:rPr>
        <w:t>Hon’ble Commission</w:t>
      </w:r>
      <w:r w:rsidR="009333ED" w:rsidRPr="00FC346C" w:rsidDel="009333ED">
        <w:rPr>
          <w:rFonts w:ascii="Times New Roman" w:hAnsi="Times New Roman" w:cs="Times New Roman"/>
          <w:sz w:val="23"/>
          <w:szCs w:val="23"/>
        </w:rPr>
        <w:t xml:space="preserve"> </w:t>
      </w:r>
      <w:r w:rsidRPr="00FC346C">
        <w:rPr>
          <w:rFonts w:ascii="Times New Roman" w:hAnsi="Times New Roman" w:cs="Times New Roman"/>
          <w:sz w:val="23"/>
          <w:szCs w:val="23"/>
        </w:rPr>
        <w:t xml:space="preserve">in the </w:t>
      </w:r>
      <w:r w:rsidR="007907C9" w:rsidRPr="00FC346C">
        <w:rPr>
          <w:rFonts w:ascii="Times New Roman" w:hAnsi="Times New Roman" w:cs="Times New Roman"/>
          <w:sz w:val="23"/>
          <w:szCs w:val="23"/>
        </w:rPr>
        <w:t>Draft Regulations</w:t>
      </w:r>
      <w:r w:rsidRPr="00FC346C">
        <w:rPr>
          <w:rFonts w:ascii="Times New Roman" w:hAnsi="Times New Roman" w:cs="Times New Roman"/>
          <w:sz w:val="23"/>
          <w:szCs w:val="23"/>
        </w:rPr>
        <w:t xml:space="preserve">. In developing </w:t>
      </w:r>
      <w:r w:rsidR="007907C9" w:rsidRPr="00FC346C">
        <w:rPr>
          <w:rFonts w:ascii="Times New Roman" w:hAnsi="Times New Roman" w:cs="Times New Roman"/>
          <w:sz w:val="23"/>
          <w:szCs w:val="23"/>
        </w:rPr>
        <w:t>my</w:t>
      </w:r>
      <w:r w:rsidRPr="00FC346C">
        <w:rPr>
          <w:rFonts w:ascii="Times New Roman" w:hAnsi="Times New Roman" w:cs="Times New Roman"/>
          <w:sz w:val="23"/>
          <w:szCs w:val="23"/>
        </w:rPr>
        <w:t xml:space="preserve"> model,</w:t>
      </w:r>
      <w:r w:rsidR="00B946EC" w:rsidRPr="00FC346C">
        <w:rPr>
          <w:rFonts w:ascii="Times New Roman" w:hAnsi="Times New Roman" w:cs="Times New Roman"/>
          <w:sz w:val="23"/>
          <w:szCs w:val="23"/>
        </w:rPr>
        <w:t xml:space="preserve"> I </w:t>
      </w:r>
      <w:r w:rsidRPr="00FC346C">
        <w:rPr>
          <w:rFonts w:ascii="Times New Roman" w:hAnsi="Times New Roman" w:cs="Times New Roman"/>
          <w:sz w:val="23"/>
          <w:szCs w:val="23"/>
        </w:rPr>
        <w:t>have crafted distinct scenarios to assess the sensitivity of each component within the CAPM method. These four scenarios have been strategically formulated to enhance our understanding of the projected returns for power utilities.</w:t>
      </w:r>
    </w:p>
    <w:p w14:paraId="32D6BE4E" w14:textId="77777777" w:rsidR="00FC3A1C" w:rsidRPr="00FC346C" w:rsidRDefault="00FC3A1C" w:rsidP="00352DD7">
      <w:pPr>
        <w:tabs>
          <w:tab w:val="left" w:pos="1276"/>
        </w:tabs>
        <w:spacing w:after="0" w:line="360" w:lineRule="auto"/>
        <w:jc w:val="both"/>
        <w:rPr>
          <w:rFonts w:ascii="Times New Roman" w:hAnsi="Times New Roman" w:cs="Times New Roman"/>
          <w:b/>
          <w:i/>
          <w:sz w:val="23"/>
          <w:szCs w:val="23"/>
          <w:u w:val="single"/>
        </w:rPr>
      </w:pPr>
    </w:p>
    <w:p w14:paraId="12B627B5" w14:textId="7B276EE8" w:rsidR="00CF4273" w:rsidRPr="00FC346C" w:rsidRDefault="00CF4273" w:rsidP="00352DD7">
      <w:pPr>
        <w:tabs>
          <w:tab w:val="left" w:pos="1276"/>
        </w:tabs>
        <w:spacing w:after="0" w:line="360" w:lineRule="auto"/>
        <w:jc w:val="both"/>
        <w:rPr>
          <w:rFonts w:ascii="Times New Roman" w:hAnsi="Times New Roman" w:cs="Times New Roman"/>
          <w:b/>
          <w:iCs/>
          <w:sz w:val="23"/>
          <w:szCs w:val="23"/>
        </w:rPr>
      </w:pPr>
      <w:r w:rsidRPr="00FC346C">
        <w:rPr>
          <w:rFonts w:ascii="Times New Roman" w:hAnsi="Times New Roman" w:cs="Times New Roman"/>
          <w:b/>
          <w:iCs/>
          <w:sz w:val="23"/>
          <w:szCs w:val="23"/>
        </w:rPr>
        <w:t xml:space="preserve">Scenario – I </w:t>
      </w:r>
    </w:p>
    <w:p w14:paraId="711DFF93" w14:textId="77777777" w:rsidR="00CF4273" w:rsidRPr="00FC346C" w:rsidRDefault="00CF4273" w:rsidP="00352DD7">
      <w:pPr>
        <w:pStyle w:val="Default"/>
        <w:spacing w:line="360" w:lineRule="auto"/>
        <w:ind w:left="284"/>
        <w:jc w:val="both"/>
        <w:rPr>
          <w:rFonts w:ascii="Times New Roman" w:hAnsi="Times New Roman" w:cs="Times New Roman"/>
          <w:sz w:val="23"/>
          <w:szCs w:val="23"/>
        </w:rPr>
      </w:pPr>
      <w:r w:rsidRPr="00FC346C">
        <w:rPr>
          <w:rFonts w:ascii="Times New Roman" w:hAnsi="Times New Roman" w:cs="Times New Roman"/>
          <w:sz w:val="23"/>
          <w:szCs w:val="23"/>
        </w:rPr>
        <w:t>Risk Free Rate considered – 7.35%</w:t>
      </w:r>
    </w:p>
    <w:p w14:paraId="26E2ACC8" w14:textId="77777777" w:rsidR="00CF4273" w:rsidRPr="00FC346C" w:rsidRDefault="00CF4273" w:rsidP="00352DD7">
      <w:pPr>
        <w:pStyle w:val="Default"/>
        <w:spacing w:line="360" w:lineRule="auto"/>
        <w:ind w:left="284"/>
        <w:jc w:val="both"/>
        <w:rPr>
          <w:rFonts w:ascii="Times New Roman" w:hAnsi="Times New Roman" w:cs="Times New Roman"/>
          <w:sz w:val="23"/>
          <w:szCs w:val="23"/>
        </w:rPr>
      </w:pPr>
      <w:r w:rsidRPr="00FC346C">
        <w:rPr>
          <w:rFonts w:ascii="Times New Roman" w:hAnsi="Times New Roman" w:cs="Times New Roman"/>
          <w:sz w:val="23"/>
          <w:szCs w:val="23"/>
        </w:rPr>
        <w:t>Risk Premium considered (CAGR latest 5 financial years of the BSE Sensex) – 15.60%</w:t>
      </w:r>
    </w:p>
    <w:p w14:paraId="045FEE68" w14:textId="77777777" w:rsidR="00CF4273" w:rsidRPr="00FC346C" w:rsidRDefault="00CF4273" w:rsidP="00352DD7">
      <w:pPr>
        <w:pStyle w:val="Default"/>
        <w:spacing w:line="360" w:lineRule="auto"/>
        <w:ind w:left="284"/>
        <w:jc w:val="both"/>
        <w:rPr>
          <w:rFonts w:ascii="Times New Roman" w:hAnsi="Times New Roman" w:cs="Times New Roman"/>
          <w:sz w:val="23"/>
          <w:szCs w:val="23"/>
        </w:rPr>
      </w:pPr>
      <w:r w:rsidRPr="00FC346C">
        <w:rPr>
          <w:rFonts w:ascii="Times New Roman" w:hAnsi="Times New Roman" w:cs="Times New Roman"/>
          <w:sz w:val="23"/>
          <w:szCs w:val="23"/>
        </w:rPr>
        <w:t xml:space="preserve">Beta – </w:t>
      </w:r>
    </w:p>
    <w:p w14:paraId="6F49BE81" w14:textId="4390FC7E" w:rsidR="00CF4273" w:rsidRPr="00FC346C" w:rsidRDefault="00CF4273" w:rsidP="00352DD7">
      <w:pPr>
        <w:pStyle w:val="Default"/>
        <w:spacing w:line="360" w:lineRule="auto"/>
        <w:ind w:left="284"/>
        <w:jc w:val="both"/>
        <w:rPr>
          <w:rFonts w:ascii="Times New Roman" w:hAnsi="Times New Roman" w:cs="Times New Roman"/>
          <w:sz w:val="23"/>
          <w:szCs w:val="23"/>
        </w:rPr>
      </w:pPr>
      <w:r w:rsidRPr="00FC346C">
        <w:rPr>
          <w:rFonts w:ascii="Times New Roman" w:hAnsi="Times New Roman" w:cs="Times New Roman"/>
          <w:sz w:val="23"/>
          <w:szCs w:val="23"/>
        </w:rPr>
        <w:t>To compute the beta, the returns of major power companies, in the generation (thermal and hydro energy) and transmission business</w:t>
      </w:r>
      <w:r w:rsidR="008D3EF3" w:rsidRPr="00FC346C">
        <w:rPr>
          <w:rFonts w:ascii="Times New Roman" w:hAnsi="Times New Roman" w:cs="Times New Roman"/>
          <w:sz w:val="23"/>
          <w:szCs w:val="23"/>
        </w:rPr>
        <w:t>es</w:t>
      </w:r>
      <w:r w:rsidRPr="00FC346C">
        <w:rPr>
          <w:rFonts w:ascii="Times New Roman" w:hAnsi="Times New Roman" w:cs="Times New Roman"/>
          <w:sz w:val="23"/>
          <w:szCs w:val="23"/>
        </w:rPr>
        <w:t>, was considered for the period FY 2019</w:t>
      </w:r>
      <w:r w:rsidR="008D3EF3" w:rsidRPr="00FC346C">
        <w:rPr>
          <w:rFonts w:ascii="Times New Roman" w:hAnsi="Times New Roman" w:cs="Times New Roman"/>
          <w:sz w:val="23"/>
          <w:szCs w:val="23"/>
        </w:rPr>
        <w:t>-20</w:t>
      </w:r>
      <w:r w:rsidRPr="00FC346C">
        <w:rPr>
          <w:rFonts w:ascii="Times New Roman" w:hAnsi="Times New Roman" w:cs="Times New Roman"/>
          <w:sz w:val="23"/>
          <w:szCs w:val="23"/>
        </w:rPr>
        <w:t xml:space="preserve"> </w:t>
      </w:r>
      <w:r w:rsidR="008D3EF3" w:rsidRPr="00FC346C">
        <w:rPr>
          <w:rFonts w:ascii="Times New Roman" w:hAnsi="Times New Roman" w:cs="Times New Roman"/>
          <w:sz w:val="23"/>
          <w:szCs w:val="23"/>
        </w:rPr>
        <w:t xml:space="preserve">to </w:t>
      </w:r>
      <w:r w:rsidRPr="00FC346C">
        <w:rPr>
          <w:rFonts w:ascii="Times New Roman" w:hAnsi="Times New Roman" w:cs="Times New Roman"/>
          <w:sz w:val="23"/>
          <w:szCs w:val="23"/>
        </w:rPr>
        <w:t>FY 2023</w:t>
      </w:r>
      <w:r w:rsidR="008D3EF3" w:rsidRPr="00FC346C">
        <w:rPr>
          <w:rFonts w:ascii="Times New Roman" w:hAnsi="Times New Roman" w:cs="Times New Roman"/>
          <w:sz w:val="23"/>
          <w:szCs w:val="23"/>
        </w:rPr>
        <w:t>-24</w:t>
      </w:r>
      <w:r w:rsidRPr="00FC346C">
        <w:rPr>
          <w:rFonts w:ascii="Times New Roman" w:hAnsi="Times New Roman" w:cs="Times New Roman"/>
          <w:sz w:val="23"/>
          <w:szCs w:val="23"/>
        </w:rPr>
        <w:t>.</w:t>
      </w:r>
    </w:p>
    <w:p w14:paraId="7B1E59F0" w14:textId="48EFC572" w:rsidR="00CF4273" w:rsidRPr="00FC346C" w:rsidRDefault="00CF4273" w:rsidP="00352DD7">
      <w:pPr>
        <w:pStyle w:val="Default"/>
        <w:spacing w:line="360" w:lineRule="auto"/>
        <w:ind w:left="284"/>
        <w:jc w:val="both"/>
        <w:rPr>
          <w:rFonts w:ascii="Times New Roman" w:hAnsi="Times New Roman" w:cs="Times New Roman"/>
          <w:sz w:val="23"/>
          <w:szCs w:val="23"/>
        </w:rPr>
      </w:pPr>
      <w:r w:rsidRPr="00FC346C">
        <w:rPr>
          <w:rFonts w:ascii="Times New Roman" w:hAnsi="Times New Roman" w:cs="Times New Roman"/>
          <w:sz w:val="23"/>
          <w:szCs w:val="23"/>
        </w:rPr>
        <w:t>The expected returns calculated for each company is mentioned in the table below</w:t>
      </w:r>
      <w:r w:rsidR="008D3EF3" w:rsidRPr="00FC346C">
        <w:rPr>
          <w:rFonts w:ascii="Times New Roman" w:hAnsi="Times New Roman" w:cs="Times New Roman"/>
          <w:sz w:val="23"/>
          <w:szCs w:val="23"/>
        </w:rPr>
        <w:t>.</w:t>
      </w:r>
    </w:p>
    <w:p w14:paraId="59CDEB48" w14:textId="77777777" w:rsidR="003151CA" w:rsidRPr="00FC346C" w:rsidRDefault="003151CA" w:rsidP="00352DD7">
      <w:pPr>
        <w:pStyle w:val="Default"/>
        <w:spacing w:line="360" w:lineRule="auto"/>
        <w:ind w:left="284"/>
        <w:jc w:val="both"/>
        <w:rPr>
          <w:rFonts w:ascii="Times New Roman" w:hAnsi="Times New Roman" w:cs="Times New Roman"/>
          <w:sz w:val="23"/>
          <w:szCs w:val="23"/>
        </w:rPr>
      </w:pPr>
    </w:p>
    <w:tbl>
      <w:tblPr>
        <w:tblW w:w="7835" w:type="dxa"/>
        <w:jc w:val="center"/>
        <w:tblLook w:val="04A0" w:firstRow="1" w:lastRow="0" w:firstColumn="1" w:lastColumn="0" w:noHBand="0" w:noVBand="1"/>
      </w:tblPr>
      <w:tblGrid>
        <w:gridCol w:w="1701"/>
        <w:gridCol w:w="1341"/>
        <w:gridCol w:w="1090"/>
        <w:gridCol w:w="1000"/>
        <w:gridCol w:w="1000"/>
        <w:gridCol w:w="1000"/>
        <w:gridCol w:w="1000"/>
      </w:tblGrid>
      <w:tr w:rsidR="00CF4273" w:rsidRPr="00FC346C" w14:paraId="3E84AB4E" w14:textId="77777777" w:rsidTr="00C01E39">
        <w:trPr>
          <w:trHeight w:val="290"/>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66D4EC9" w14:textId="77777777" w:rsidR="00CF4273" w:rsidRPr="00FC346C" w:rsidRDefault="00CF4273" w:rsidP="00C01E39">
            <w:pPr>
              <w:spacing w:after="0" w:line="360" w:lineRule="auto"/>
              <w:contextualSpacing/>
              <w:jc w:val="center"/>
              <w:rPr>
                <w:rFonts w:ascii="Times New Roman" w:eastAsia="Times New Roman" w:hAnsi="Times New Roman" w:cs="Times New Roman"/>
                <w:b/>
                <w:bCs/>
                <w:sz w:val="23"/>
                <w:szCs w:val="23"/>
                <w:lang w:eastAsia="en-IN"/>
              </w:rPr>
            </w:pPr>
            <w:r w:rsidRPr="00FC346C">
              <w:rPr>
                <w:rFonts w:ascii="Times New Roman" w:eastAsia="Times New Roman" w:hAnsi="Times New Roman" w:cs="Times New Roman"/>
                <w:b/>
                <w:bCs/>
                <w:sz w:val="23"/>
                <w:szCs w:val="23"/>
                <w:lang w:eastAsia="en-IN"/>
              </w:rPr>
              <w:t>Particulars</w:t>
            </w:r>
          </w:p>
        </w:tc>
        <w:tc>
          <w:tcPr>
            <w:tcW w:w="1134"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3A7465F0" w14:textId="77777777" w:rsidR="00CF4273" w:rsidRPr="00FC346C" w:rsidRDefault="00CF4273" w:rsidP="00C01E39">
            <w:pPr>
              <w:spacing w:after="0" w:line="360" w:lineRule="auto"/>
              <w:contextualSpacing/>
              <w:jc w:val="center"/>
              <w:rPr>
                <w:rFonts w:ascii="Times New Roman" w:eastAsia="Times New Roman" w:hAnsi="Times New Roman" w:cs="Times New Roman"/>
                <w:b/>
                <w:bCs/>
                <w:sz w:val="23"/>
                <w:szCs w:val="23"/>
                <w:lang w:eastAsia="en-IN"/>
              </w:rPr>
            </w:pPr>
            <w:r w:rsidRPr="00FC346C">
              <w:rPr>
                <w:rFonts w:ascii="Times New Roman" w:eastAsia="Times New Roman" w:hAnsi="Times New Roman" w:cs="Times New Roman"/>
                <w:b/>
                <w:bCs/>
                <w:sz w:val="23"/>
                <w:szCs w:val="23"/>
                <w:lang w:eastAsia="en-IN"/>
              </w:rPr>
              <w:t>Covariance</w:t>
            </w:r>
          </w:p>
        </w:tc>
        <w:tc>
          <w:tcPr>
            <w:tcW w:w="100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1E7777C4" w14:textId="77777777" w:rsidR="00CF4273" w:rsidRPr="00FC346C" w:rsidRDefault="00CF4273" w:rsidP="00C01E39">
            <w:pPr>
              <w:spacing w:after="0" w:line="360" w:lineRule="auto"/>
              <w:contextualSpacing/>
              <w:jc w:val="center"/>
              <w:rPr>
                <w:rFonts w:ascii="Times New Roman" w:eastAsia="Times New Roman" w:hAnsi="Times New Roman" w:cs="Times New Roman"/>
                <w:b/>
                <w:bCs/>
                <w:sz w:val="23"/>
                <w:szCs w:val="23"/>
                <w:lang w:eastAsia="en-IN"/>
              </w:rPr>
            </w:pPr>
            <w:r w:rsidRPr="00FC346C">
              <w:rPr>
                <w:rFonts w:ascii="Times New Roman" w:eastAsia="Times New Roman" w:hAnsi="Times New Roman" w:cs="Times New Roman"/>
                <w:b/>
                <w:bCs/>
                <w:sz w:val="23"/>
                <w:szCs w:val="23"/>
                <w:lang w:eastAsia="en-IN"/>
              </w:rPr>
              <w:t>Variance</w:t>
            </w:r>
          </w:p>
        </w:tc>
        <w:tc>
          <w:tcPr>
            <w:tcW w:w="100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683A49EE" w14:textId="77777777" w:rsidR="00CF4273" w:rsidRPr="00FC346C" w:rsidRDefault="00CF4273" w:rsidP="00C01E39">
            <w:pPr>
              <w:spacing w:after="0" w:line="360" w:lineRule="auto"/>
              <w:contextualSpacing/>
              <w:jc w:val="center"/>
              <w:rPr>
                <w:rFonts w:ascii="Times New Roman" w:eastAsia="Times New Roman" w:hAnsi="Times New Roman" w:cs="Times New Roman"/>
                <w:b/>
                <w:bCs/>
                <w:sz w:val="23"/>
                <w:szCs w:val="23"/>
                <w:lang w:eastAsia="en-IN"/>
              </w:rPr>
            </w:pPr>
            <w:r w:rsidRPr="00FC346C">
              <w:rPr>
                <w:rFonts w:ascii="Times New Roman" w:eastAsia="Times New Roman" w:hAnsi="Times New Roman" w:cs="Times New Roman"/>
                <w:b/>
                <w:bCs/>
                <w:sz w:val="23"/>
                <w:szCs w:val="23"/>
                <w:lang w:eastAsia="en-IN"/>
              </w:rPr>
              <w:t>Beta</w:t>
            </w:r>
          </w:p>
        </w:tc>
        <w:tc>
          <w:tcPr>
            <w:tcW w:w="100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1F33245A" w14:textId="77777777" w:rsidR="00CF4273" w:rsidRPr="00FC346C" w:rsidRDefault="00CF4273" w:rsidP="00C01E39">
            <w:pPr>
              <w:spacing w:after="0" w:line="360" w:lineRule="auto"/>
              <w:contextualSpacing/>
              <w:jc w:val="center"/>
              <w:rPr>
                <w:rFonts w:ascii="Times New Roman" w:eastAsia="Times New Roman" w:hAnsi="Times New Roman" w:cs="Times New Roman"/>
                <w:b/>
                <w:bCs/>
                <w:sz w:val="23"/>
                <w:szCs w:val="23"/>
                <w:lang w:eastAsia="en-IN"/>
              </w:rPr>
            </w:pPr>
            <w:r w:rsidRPr="00FC346C">
              <w:rPr>
                <w:rFonts w:ascii="Times New Roman" w:eastAsia="Times New Roman" w:hAnsi="Times New Roman" w:cs="Times New Roman"/>
                <w:b/>
                <w:bCs/>
                <w:sz w:val="23"/>
                <w:szCs w:val="23"/>
                <w:lang w:eastAsia="en-IN"/>
              </w:rPr>
              <w:t>Rf</w:t>
            </w:r>
          </w:p>
        </w:tc>
        <w:tc>
          <w:tcPr>
            <w:tcW w:w="100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080651F6" w14:textId="77777777" w:rsidR="00CF4273" w:rsidRPr="00FC346C" w:rsidRDefault="00CF4273" w:rsidP="00C01E39">
            <w:pPr>
              <w:spacing w:after="0" w:line="360" w:lineRule="auto"/>
              <w:contextualSpacing/>
              <w:jc w:val="center"/>
              <w:rPr>
                <w:rFonts w:ascii="Times New Roman" w:eastAsia="Times New Roman" w:hAnsi="Times New Roman" w:cs="Times New Roman"/>
                <w:b/>
                <w:bCs/>
                <w:sz w:val="23"/>
                <w:szCs w:val="23"/>
                <w:lang w:eastAsia="en-IN"/>
              </w:rPr>
            </w:pPr>
            <w:r w:rsidRPr="00FC346C">
              <w:rPr>
                <w:rFonts w:ascii="Times New Roman" w:eastAsia="Times New Roman" w:hAnsi="Times New Roman" w:cs="Times New Roman"/>
                <w:b/>
                <w:bCs/>
                <w:sz w:val="23"/>
                <w:szCs w:val="23"/>
                <w:lang w:eastAsia="en-IN"/>
              </w:rPr>
              <w:t>Rm</w:t>
            </w:r>
          </w:p>
        </w:tc>
        <w:tc>
          <w:tcPr>
            <w:tcW w:w="100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758305DB" w14:textId="77777777" w:rsidR="00CF4273" w:rsidRPr="00FC346C" w:rsidRDefault="00CF4273" w:rsidP="00C01E39">
            <w:pPr>
              <w:spacing w:after="0" w:line="360" w:lineRule="auto"/>
              <w:contextualSpacing/>
              <w:jc w:val="center"/>
              <w:rPr>
                <w:rFonts w:ascii="Times New Roman" w:eastAsia="Times New Roman" w:hAnsi="Times New Roman" w:cs="Times New Roman"/>
                <w:b/>
                <w:bCs/>
                <w:sz w:val="23"/>
                <w:szCs w:val="23"/>
                <w:lang w:eastAsia="en-IN"/>
              </w:rPr>
            </w:pPr>
            <w:r w:rsidRPr="00FC346C">
              <w:rPr>
                <w:rFonts w:ascii="Times New Roman" w:eastAsia="Times New Roman" w:hAnsi="Times New Roman" w:cs="Times New Roman"/>
                <w:b/>
                <w:bCs/>
                <w:sz w:val="23"/>
                <w:szCs w:val="23"/>
                <w:lang w:eastAsia="en-IN"/>
              </w:rPr>
              <w:t>Re</w:t>
            </w:r>
          </w:p>
        </w:tc>
      </w:tr>
      <w:tr w:rsidR="00CF4273" w:rsidRPr="00FC346C" w14:paraId="749E2D54" w14:textId="77777777" w:rsidTr="00C01E39">
        <w:trPr>
          <w:trHeight w:val="290"/>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2AC95D9"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PGCIL</w:t>
            </w:r>
          </w:p>
        </w:tc>
        <w:tc>
          <w:tcPr>
            <w:tcW w:w="1134" w:type="dxa"/>
            <w:tcBorders>
              <w:top w:val="nil"/>
              <w:left w:val="nil"/>
              <w:bottom w:val="single" w:sz="4" w:space="0" w:color="auto"/>
              <w:right w:val="single" w:sz="4" w:space="0" w:color="auto"/>
            </w:tcBorders>
            <w:shd w:val="clear" w:color="auto" w:fill="auto"/>
            <w:noWrap/>
            <w:vAlign w:val="center"/>
            <w:hideMark/>
          </w:tcPr>
          <w:p w14:paraId="31FD5663"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8.29E-05</w:t>
            </w:r>
          </w:p>
        </w:tc>
        <w:tc>
          <w:tcPr>
            <w:tcW w:w="1000" w:type="dxa"/>
            <w:tcBorders>
              <w:top w:val="nil"/>
              <w:left w:val="nil"/>
              <w:bottom w:val="single" w:sz="4" w:space="0" w:color="auto"/>
              <w:right w:val="single" w:sz="4" w:space="0" w:color="auto"/>
            </w:tcBorders>
            <w:shd w:val="clear" w:color="auto" w:fill="auto"/>
            <w:noWrap/>
            <w:vAlign w:val="center"/>
            <w:hideMark/>
          </w:tcPr>
          <w:p w14:paraId="5EE7E26A"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0.0002</w:t>
            </w:r>
          </w:p>
        </w:tc>
        <w:tc>
          <w:tcPr>
            <w:tcW w:w="1000" w:type="dxa"/>
            <w:tcBorders>
              <w:top w:val="nil"/>
              <w:left w:val="nil"/>
              <w:bottom w:val="single" w:sz="4" w:space="0" w:color="auto"/>
              <w:right w:val="single" w:sz="4" w:space="0" w:color="auto"/>
            </w:tcBorders>
            <w:shd w:val="clear" w:color="auto" w:fill="auto"/>
            <w:noWrap/>
            <w:vAlign w:val="center"/>
            <w:hideMark/>
          </w:tcPr>
          <w:p w14:paraId="00E5F42C"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0.5428</w:t>
            </w:r>
          </w:p>
        </w:tc>
        <w:tc>
          <w:tcPr>
            <w:tcW w:w="1000" w:type="dxa"/>
            <w:tcBorders>
              <w:top w:val="nil"/>
              <w:left w:val="nil"/>
              <w:bottom w:val="single" w:sz="4" w:space="0" w:color="auto"/>
              <w:right w:val="single" w:sz="4" w:space="0" w:color="auto"/>
            </w:tcBorders>
            <w:shd w:val="clear" w:color="auto" w:fill="auto"/>
            <w:noWrap/>
            <w:vAlign w:val="center"/>
            <w:hideMark/>
          </w:tcPr>
          <w:p w14:paraId="10D4F289"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7.35%</w:t>
            </w:r>
          </w:p>
        </w:tc>
        <w:tc>
          <w:tcPr>
            <w:tcW w:w="1000" w:type="dxa"/>
            <w:tcBorders>
              <w:top w:val="nil"/>
              <w:left w:val="nil"/>
              <w:bottom w:val="single" w:sz="4" w:space="0" w:color="auto"/>
              <w:right w:val="single" w:sz="4" w:space="0" w:color="auto"/>
            </w:tcBorders>
            <w:shd w:val="clear" w:color="auto" w:fill="auto"/>
            <w:noWrap/>
            <w:vAlign w:val="center"/>
            <w:hideMark/>
          </w:tcPr>
          <w:p w14:paraId="54692E3D"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15.60%</w:t>
            </w:r>
          </w:p>
        </w:tc>
        <w:tc>
          <w:tcPr>
            <w:tcW w:w="1000" w:type="dxa"/>
            <w:tcBorders>
              <w:top w:val="nil"/>
              <w:left w:val="nil"/>
              <w:bottom w:val="single" w:sz="4" w:space="0" w:color="auto"/>
              <w:right w:val="single" w:sz="4" w:space="0" w:color="auto"/>
            </w:tcBorders>
            <w:shd w:val="clear" w:color="auto" w:fill="auto"/>
            <w:noWrap/>
            <w:vAlign w:val="center"/>
            <w:hideMark/>
          </w:tcPr>
          <w:p w14:paraId="621FAF8A"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11.83%</w:t>
            </w:r>
          </w:p>
        </w:tc>
      </w:tr>
      <w:tr w:rsidR="00CF4273" w:rsidRPr="00FC346C" w14:paraId="36762C71" w14:textId="77777777" w:rsidTr="00C01E39">
        <w:trPr>
          <w:trHeight w:val="290"/>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33DD471"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Tata Power</w:t>
            </w:r>
          </w:p>
        </w:tc>
        <w:tc>
          <w:tcPr>
            <w:tcW w:w="1134" w:type="dxa"/>
            <w:tcBorders>
              <w:top w:val="nil"/>
              <w:left w:val="nil"/>
              <w:bottom w:val="single" w:sz="4" w:space="0" w:color="auto"/>
              <w:right w:val="single" w:sz="4" w:space="0" w:color="auto"/>
            </w:tcBorders>
            <w:shd w:val="clear" w:color="auto" w:fill="auto"/>
            <w:noWrap/>
            <w:vAlign w:val="center"/>
            <w:hideMark/>
          </w:tcPr>
          <w:p w14:paraId="260BE6AB"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1.58E-04</w:t>
            </w:r>
          </w:p>
        </w:tc>
        <w:tc>
          <w:tcPr>
            <w:tcW w:w="1000" w:type="dxa"/>
            <w:tcBorders>
              <w:top w:val="nil"/>
              <w:left w:val="nil"/>
              <w:bottom w:val="single" w:sz="4" w:space="0" w:color="auto"/>
              <w:right w:val="single" w:sz="4" w:space="0" w:color="auto"/>
            </w:tcBorders>
            <w:shd w:val="clear" w:color="auto" w:fill="auto"/>
            <w:noWrap/>
            <w:vAlign w:val="center"/>
            <w:hideMark/>
          </w:tcPr>
          <w:p w14:paraId="319CEC17"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0.0002</w:t>
            </w:r>
          </w:p>
        </w:tc>
        <w:tc>
          <w:tcPr>
            <w:tcW w:w="1000" w:type="dxa"/>
            <w:tcBorders>
              <w:top w:val="nil"/>
              <w:left w:val="nil"/>
              <w:bottom w:val="single" w:sz="4" w:space="0" w:color="auto"/>
              <w:right w:val="single" w:sz="4" w:space="0" w:color="auto"/>
            </w:tcBorders>
            <w:shd w:val="clear" w:color="auto" w:fill="auto"/>
            <w:noWrap/>
            <w:vAlign w:val="center"/>
            <w:hideMark/>
          </w:tcPr>
          <w:p w14:paraId="6C19EA25"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1.0351</w:t>
            </w:r>
          </w:p>
        </w:tc>
        <w:tc>
          <w:tcPr>
            <w:tcW w:w="1000" w:type="dxa"/>
            <w:tcBorders>
              <w:top w:val="nil"/>
              <w:left w:val="nil"/>
              <w:bottom w:val="single" w:sz="4" w:space="0" w:color="auto"/>
              <w:right w:val="single" w:sz="4" w:space="0" w:color="auto"/>
            </w:tcBorders>
            <w:shd w:val="clear" w:color="auto" w:fill="auto"/>
            <w:noWrap/>
            <w:vAlign w:val="center"/>
            <w:hideMark/>
          </w:tcPr>
          <w:p w14:paraId="39388BB2"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7.35%</w:t>
            </w:r>
          </w:p>
        </w:tc>
        <w:tc>
          <w:tcPr>
            <w:tcW w:w="1000" w:type="dxa"/>
            <w:tcBorders>
              <w:top w:val="nil"/>
              <w:left w:val="nil"/>
              <w:bottom w:val="single" w:sz="4" w:space="0" w:color="auto"/>
              <w:right w:val="single" w:sz="4" w:space="0" w:color="auto"/>
            </w:tcBorders>
            <w:shd w:val="clear" w:color="auto" w:fill="auto"/>
            <w:noWrap/>
            <w:vAlign w:val="center"/>
            <w:hideMark/>
          </w:tcPr>
          <w:p w14:paraId="4954080D"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15.60%</w:t>
            </w:r>
          </w:p>
        </w:tc>
        <w:tc>
          <w:tcPr>
            <w:tcW w:w="1000" w:type="dxa"/>
            <w:tcBorders>
              <w:top w:val="nil"/>
              <w:left w:val="nil"/>
              <w:bottom w:val="single" w:sz="4" w:space="0" w:color="auto"/>
              <w:right w:val="single" w:sz="4" w:space="0" w:color="auto"/>
            </w:tcBorders>
            <w:shd w:val="clear" w:color="auto" w:fill="auto"/>
            <w:noWrap/>
            <w:vAlign w:val="center"/>
            <w:hideMark/>
          </w:tcPr>
          <w:p w14:paraId="37C5B324"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15.89%</w:t>
            </w:r>
          </w:p>
        </w:tc>
      </w:tr>
      <w:tr w:rsidR="00CF4273" w:rsidRPr="00FC346C" w14:paraId="2A2314DD" w14:textId="77777777" w:rsidTr="00C01E39">
        <w:trPr>
          <w:trHeight w:val="290"/>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E93C603"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JSW Energy</w:t>
            </w:r>
          </w:p>
        </w:tc>
        <w:tc>
          <w:tcPr>
            <w:tcW w:w="1134" w:type="dxa"/>
            <w:tcBorders>
              <w:top w:val="nil"/>
              <w:left w:val="nil"/>
              <w:bottom w:val="single" w:sz="4" w:space="0" w:color="auto"/>
              <w:right w:val="single" w:sz="4" w:space="0" w:color="auto"/>
            </w:tcBorders>
            <w:shd w:val="clear" w:color="auto" w:fill="auto"/>
            <w:noWrap/>
            <w:vAlign w:val="center"/>
            <w:hideMark/>
          </w:tcPr>
          <w:p w14:paraId="36204E90"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1.23E-04</w:t>
            </w:r>
          </w:p>
        </w:tc>
        <w:tc>
          <w:tcPr>
            <w:tcW w:w="1000" w:type="dxa"/>
            <w:tcBorders>
              <w:top w:val="nil"/>
              <w:left w:val="nil"/>
              <w:bottom w:val="single" w:sz="4" w:space="0" w:color="auto"/>
              <w:right w:val="single" w:sz="4" w:space="0" w:color="auto"/>
            </w:tcBorders>
            <w:shd w:val="clear" w:color="auto" w:fill="auto"/>
            <w:noWrap/>
            <w:vAlign w:val="center"/>
            <w:hideMark/>
          </w:tcPr>
          <w:p w14:paraId="1072AC54"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0.0002</w:t>
            </w:r>
          </w:p>
        </w:tc>
        <w:tc>
          <w:tcPr>
            <w:tcW w:w="1000" w:type="dxa"/>
            <w:tcBorders>
              <w:top w:val="nil"/>
              <w:left w:val="nil"/>
              <w:bottom w:val="single" w:sz="4" w:space="0" w:color="auto"/>
              <w:right w:val="single" w:sz="4" w:space="0" w:color="auto"/>
            </w:tcBorders>
            <w:shd w:val="clear" w:color="auto" w:fill="auto"/>
            <w:noWrap/>
            <w:vAlign w:val="center"/>
            <w:hideMark/>
          </w:tcPr>
          <w:p w14:paraId="1A49C6F8"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0.8066</w:t>
            </w:r>
          </w:p>
        </w:tc>
        <w:tc>
          <w:tcPr>
            <w:tcW w:w="1000" w:type="dxa"/>
            <w:tcBorders>
              <w:top w:val="nil"/>
              <w:left w:val="nil"/>
              <w:bottom w:val="single" w:sz="4" w:space="0" w:color="auto"/>
              <w:right w:val="single" w:sz="4" w:space="0" w:color="auto"/>
            </w:tcBorders>
            <w:shd w:val="clear" w:color="auto" w:fill="auto"/>
            <w:noWrap/>
            <w:vAlign w:val="center"/>
            <w:hideMark/>
          </w:tcPr>
          <w:p w14:paraId="1B62D144"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7.35%</w:t>
            </w:r>
          </w:p>
        </w:tc>
        <w:tc>
          <w:tcPr>
            <w:tcW w:w="1000" w:type="dxa"/>
            <w:tcBorders>
              <w:top w:val="nil"/>
              <w:left w:val="nil"/>
              <w:bottom w:val="single" w:sz="4" w:space="0" w:color="auto"/>
              <w:right w:val="single" w:sz="4" w:space="0" w:color="auto"/>
            </w:tcBorders>
            <w:shd w:val="clear" w:color="auto" w:fill="auto"/>
            <w:noWrap/>
            <w:vAlign w:val="center"/>
            <w:hideMark/>
          </w:tcPr>
          <w:p w14:paraId="3902E7E2"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15.60%</w:t>
            </w:r>
          </w:p>
        </w:tc>
        <w:tc>
          <w:tcPr>
            <w:tcW w:w="1000" w:type="dxa"/>
            <w:tcBorders>
              <w:top w:val="nil"/>
              <w:left w:val="nil"/>
              <w:bottom w:val="single" w:sz="4" w:space="0" w:color="auto"/>
              <w:right w:val="single" w:sz="4" w:space="0" w:color="auto"/>
            </w:tcBorders>
            <w:shd w:val="clear" w:color="auto" w:fill="auto"/>
            <w:noWrap/>
            <w:vAlign w:val="center"/>
            <w:hideMark/>
          </w:tcPr>
          <w:p w14:paraId="3F869C33"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14.01%</w:t>
            </w:r>
          </w:p>
        </w:tc>
      </w:tr>
      <w:tr w:rsidR="00CF4273" w:rsidRPr="00FC346C" w14:paraId="66701990" w14:textId="77777777" w:rsidTr="00C01E39">
        <w:trPr>
          <w:trHeight w:val="290"/>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EE42EF0"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Torrent Power</w:t>
            </w:r>
          </w:p>
        </w:tc>
        <w:tc>
          <w:tcPr>
            <w:tcW w:w="1134" w:type="dxa"/>
            <w:tcBorders>
              <w:top w:val="nil"/>
              <w:left w:val="nil"/>
              <w:bottom w:val="single" w:sz="4" w:space="0" w:color="auto"/>
              <w:right w:val="single" w:sz="4" w:space="0" w:color="auto"/>
            </w:tcBorders>
            <w:shd w:val="clear" w:color="auto" w:fill="auto"/>
            <w:noWrap/>
            <w:vAlign w:val="center"/>
            <w:hideMark/>
          </w:tcPr>
          <w:p w14:paraId="32E9800F"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1.02E-04</w:t>
            </w:r>
          </w:p>
        </w:tc>
        <w:tc>
          <w:tcPr>
            <w:tcW w:w="1000" w:type="dxa"/>
            <w:tcBorders>
              <w:top w:val="nil"/>
              <w:left w:val="nil"/>
              <w:bottom w:val="single" w:sz="4" w:space="0" w:color="auto"/>
              <w:right w:val="single" w:sz="4" w:space="0" w:color="auto"/>
            </w:tcBorders>
            <w:shd w:val="clear" w:color="auto" w:fill="auto"/>
            <w:noWrap/>
            <w:vAlign w:val="center"/>
            <w:hideMark/>
          </w:tcPr>
          <w:p w14:paraId="42E2953E"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0.0002</w:t>
            </w:r>
          </w:p>
        </w:tc>
        <w:tc>
          <w:tcPr>
            <w:tcW w:w="1000" w:type="dxa"/>
            <w:tcBorders>
              <w:top w:val="nil"/>
              <w:left w:val="nil"/>
              <w:bottom w:val="single" w:sz="4" w:space="0" w:color="auto"/>
              <w:right w:val="single" w:sz="4" w:space="0" w:color="auto"/>
            </w:tcBorders>
            <w:shd w:val="clear" w:color="auto" w:fill="auto"/>
            <w:noWrap/>
            <w:vAlign w:val="center"/>
            <w:hideMark/>
          </w:tcPr>
          <w:p w14:paraId="0984448B"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0.6678</w:t>
            </w:r>
          </w:p>
        </w:tc>
        <w:tc>
          <w:tcPr>
            <w:tcW w:w="1000" w:type="dxa"/>
            <w:tcBorders>
              <w:top w:val="nil"/>
              <w:left w:val="nil"/>
              <w:bottom w:val="single" w:sz="4" w:space="0" w:color="auto"/>
              <w:right w:val="single" w:sz="4" w:space="0" w:color="auto"/>
            </w:tcBorders>
            <w:shd w:val="clear" w:color="auto" w:fill="auto"/>
            <w:noWrap/>
            <w:vAlign w:val="center"/>
            <w:hideMark/>
          </w:tcPr>
          <w:p w14:paraId="324633E1"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7.35%</w:t>
            </w:r>
          </w:p>
        </w:tc>
        <w:tc>
          <w:tcPr>
            <w:tcW w:w="1000" w:type="dxa"/>
            <w:tcBorders>
              <w:top w:val="nil"/>
              <w:left w:val="nil"/>
              <w:bottom w:val="single" w:sz="4" w:space="0" w:color="auto"/>
              <w:right w:val="single" w:sz="4" w:space="0" w:color="auto"/>
            </w:tcBorders>
            <w:shd w:val="clear" w:color="auto" w:fill="auto"/>
            <w:noWrap/>
            <w:vAlign w:val="center"/>
            <w:hideMark/>
          </w:tcPr>
          <w:p w14:paraId="4A411F19"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15.60%</w:t>
            </w:r>
          </w:p>
        </w:tc>
        <w:tc>
          <w:tcPr>
            <w:tcW w:w="1000" w:type="dxa"/>
            <w:tcBorders>
              <w:top w:val="nil"/>
              <w:left w:val="nil"/>
              <w:bottom w:val="single" w:sz="4" w:space="0" w:color="auto"/>
              <w:right w:val="single" w:sz="4" w:space="0" w:color="auto"/>
            </w:tcBorders>
            <w:shd w:val="clear" w:color="auto" w:fill="auto"/>
            <w:noWrap/>
            <w:vAlign w:val="center"/>
            <w:hideMark/>
          </w:tcPr>
          <w:p w14:paraId="3F52CC30"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12.86%</w:t>
            </w:r>
          </w:p>
        </w:tc>
      </w:tr>
      <w:tr w:rsidR="00CF4273" w:rsidRPr="00FC346C" w14:paraId="696B7841" w14:textId="77777777" w:rsidTr="00C01E39">
        <w:trPr>
          <w:trHeight w:val="290"/>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5919821"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Reliance Power</w:t>
            </w:r>
          </w:p>
        </w:tc>
        <w:tc>
          <w:tcPr>
            <w:tcW w:w="1134" w:type="dxa"/>
            <w:tcBorders>
              <w:top w:val="nil"/>
              <w:left w:val="nil"/>
              <w:bottom w:val="single" w:sz="4" w:space="0" w:color="auto"/>
              <w:right w:val="single" w:sz="4" w:space="0" w:color="auto"/>
            </w:tcBorders>
            <w:shd w:val="clear" w:color="auto" w:fill="auto"/>
            <w:noWrap/>
            <w:vAlign w:val="center"/>
            <w:hideMark/>
          </w:tcPr>
          <w:p w14:paraId="6D861CA0"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9.36E-05</w:t>
            </w:r>
          </w:p>
        </w:tc>
        <w:tc>
          <w:tcPr>
            <w:tcW w:w="1000" w:type="dxa"/>
            <w:tcBorders>
              <w:top w:val="nil"/>
              <w:left w:val="nil"/>
              <w:bottom w:val="single" w:sz="4" w:space="0" w:color="auto"/>
              <w:right w:val="single" w:sz="4" w:space="0" w:color="auto"/>
            </w:tcBorders>
            <w:shd w:val="clear" w:color="auto" w:fill="auto"/>
            <w:noWrap/>
            <w:vAlign w:val="center"/>
            <w:hideMark/>
          </w:tcPr>
          <w:p w14:paraId="4D052308"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0.0002</w:t>
            </w:r>
          </w:p>
        </w:tc>
        <w:tc>
          <w:tcPr>
            <w:tcW w:w="1000" w:type="dxa"/>
            <w:tcBorders>
              <w:top w:val="nil"/>
              <w:left w:val="nil"/>
              <w:bottom w:val="single" w:sz="4" w:space="0" w:color="auto"/>
              <w:right w:val="single" w:sz="4" w:space="0" w:color="auto"/>
            </w:tcBorders>
            <w:shd w:val="clear" w:color="auto" w:fill="auto"/>
            <w:noWrap/>
            <w:vAlign w:val="center"/>
            <w:hideMark/>
          </w:tcPr>
          <w:p w14:paraId="591DBBF4"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0.6134</w:t>
            </w:r>
          </w:p>
        </w:tc>
        <w:tc>
          <w:tcPr>
            <w:tcW w:w="1000" w:type="dxa"/>
            <w:tcBorders>
              <w:top w:val="nil"/>
              <w:left w:val="nil"/>
              <w:bottom w:val="single" w:sz="4" w:space="0" w:color="auto"/>
              <w:right w:val="single" w:sz="4" w:space="0" w:color="auto"/>
            </w:tcBorders>
            <w:shd w:val="clear" w:color="auto" w:fill="auto"/>
            <w:noWrap/>
            <w:vAlign w:val="center"/>
            <w:hideMark/>
          </w:tcPr>
          <w:p w14:paraId="64C05582"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7.35%</w:t>
            </w:r>
          </w:p>
        </w:tc>
        <w:tc>
          <w:tcPr>
            <w:tcW w:w="1000" w:type="dxa"/>
            <w:tcBorders>
              <w:top w:val="nil"/>
              <w:left w:val="nil"/>
              <w:bottom w:val="single" w:sz="4" w:space="0" w:color="auto"/>
              <w:right w:val="single" w:sz="4" w:space="0" w:color="auto"/>
            </w:tcBorders>
            <w:shd w:val="clear" w:color="auto" w:fill="auto"/>
            <w:noWrap/>
            <w:vAlign w:val="center"/>
            <w:hideMark/>
          </w:tcPr>
          <w:p w14:paraId="419D3C36"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15.60%</w:t>
            </w:r>
          </w:p>
        </w:tc>
        <w:tc>
          <w:tcPr>
            <w:tcW w:w="1000" w:type="dxa"/>
            <w:tcBorders>
              <w:top w:val="nil"/>
              <w:left w:val="nil"/>
              <w:bottom w:val="single" w:sz="4" w:space="0" w:color="auto"/>
              <w:right w:val="single" w:sz="4" w:space="0" w:color="auto"/>
            </w:tcBorders>
            <w:shd w:val="clear" w:color="auto" w:fill="auto"/>
            <w:noWrap/>
            <w:vAlign w:val="center"/>
            <w:hideMark/>
          </w:tcPr>
          <w:p w14:paraId="481BB13E"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12.41%</w:t>
            </w:r>
          </w:p>
        </w:tc>
      </w:tr>
      <w:tr w:rsidR="00CF4273" w:rsidRPr="00FC346C" w14:paraId="4FFB1D50" w14:textId="77777777" w:rsidTr="00C01E39">
        <w:trPr>
          <w:trHeight w:val="290"/>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AF1428F"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Adani Power</w:t>
            </w:r>
          </w:p>
        </w:tc>
        <w:tc>
          <w:tcPr>
            <w:tcW w:w="1134" w:type="dxa"/>
            <w:tcBorders>
              <w:top w:val="nil"/>
              <w:left w:val="nil"/>
              <w:bottom w:val="single" w:sz="4" w:space="0" w:color="auto"/>
              <w:right w:val="single" w:sz="4" w:space="0" w:color="auto"/>
            </w:tcBorders>
            <w:shd w:val="clear" w:color="auto" w:fill="auto"/>
            <w:noWrap/>
            <w:vAlign w:val="center"/>
            <w:hideMark/>
          </w:tcPr>
          <w:p w14:paraId="749345D5"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1.84E-04</w:t>
            </w:r>
          </w:p>
        </w:tc>
        <w:tc>
          <w:tcPr>
            <w:tcW w:w="1000" w:type="dxa"/>
            <w:tcBorders>
              <w:top w:val="nil"/>
              <w:left w:val="nil"/>
              <w:bottom w:val="single" w:sz="4" w:space="0" w:color="auto"/>
              <w:right w:val="single" w:sz="4" w:space="0" w:color="auto"/>
            </w:tcBorders>
            <w:shd w:val="clear" w:color="auto" w:fill="auto"/>
            <w:noWrap/>
            <w:vAlign w:val="center"/>
            <w:hideMark/>
          </w:tcPr>
          <w:p w14:paraId="50EAED12"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0.0002</w:t>
            </w:r>
          </w:p>
        </w:tc>
        <w:tc>
          <w:tcPr>
            <w:tcW w:w="1000" w:type="dxa"/>
            <w:tcBorders>
              <w:top w:val="nil"/>
              <w:left w:val="nil"/>
              <w:bottom w:val="single" w:sz="4" w:space="0" w:color="auto"/>
              <w:right w:val="single" w:sz="4" w:space="0" w:color="auto"/>
            </w:tcBorders>
            <w:shd w:val="clear" w:color="auto" w:fill="auto"/>
            <w:noWrap/>
            <w:vAlign w:val="center"/>
            <w:hideMark/>
          </w:tcPr>
          <w:p w14:paraId="5F95AC92"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1.2069</w:t>
            </w:r>
          </w:p>
        </w:tc>
        <w:tc>
          <w:tcPr>
            <w:tcW w:w="1000" w:type="dxa"/>
            <w:tcBorders>
              <w:top w:val="nil"/>
              <w:left w:val="nil"/>
              <w:bottom w:val="single" w:sz="4" w:space="0" w:color="auto"/>
              <w:right w:val="single" w:sz="4" w:space="0" w:color="auto"/>
            </w:tcBorders>
            <w:shd w:val="clear" w:color="auto" w:fill="auto"/>
            <w:noWrap/>
            <w:vAlign w:val="center"/>
            <w:hideMark/>
          </w:tcPr>
          <w:p w14:paraId="0C0A3F80"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7.35%</w:t>
            </w:r>
          </w:p>
        </w:tc>
        <w:tc>
          <w:tcPr>
            <w:tcW w:w="1000" w:type="dxa"/>
            <w:tcBorders>
              <w:top w:val="nil"/>
              <w:left w:val="nil"/>
              <w:bottom w:val="single" w:sz="4" w:space="0" w:color="auto"/>
              <w:right w:val="single" w:sz="4" w:space="0" w:color="auto"/>
            </w:tcBorders>
            <w:shd w:val="clear" w:color="auto" w:fill="auto"/>
            <w:noWrap/>
            <w:vAlign w:val="center"/>
            <w:hideMark/>
          </w:tcPr>
          <w:p w14:paraId="0032B88B"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15.60%</w:t>
            </w:r>
          </w:p>
        </w:tc>
        <w:tc>
          <w:tcPr>
            <w:tcW w:w="1000" w:type="dxa"/>
            <w:tcBorders>
              <w:top w:val="nil"/>
              <w:left w:val="nil"/>
              <w:bottom w:val="single" w:sz="4" w:space="0" w:color="auto"/>
              <w:right w:val="single" w:sz="4" w:space="0" w:color="auto"/>
            </w:tcBorders>
            <w:shd w:val="clear" w:color="auto" w:fill="auto"/>
            <w:noWrap/>
            <w:vAlign w:val="center"/>
            <w:hideMark/>
          </w:tcPr>
          <w:p w14:paraId="34DE51F6"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17.31%</w:t>
            </w:r>
          </w:p>
        </w:tc>
      </w:tr>
      <w:tr w:rsidR="00CF4273" w:rsidRPr="00FC346C" w14:paraId="7FA8C811" w14:textId="77777777" w:rsidTr="00C01E39">
        <w:trPr>
          <w:trHeight w:val="290"/>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FA07135"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Jai Prakash Power</w:t>
            </w:r>
          </w:p>
        </w:tc>
        <w:tc>
          <w:tcPr>
            <w:tcW w:w="1134" w:type="dxa"/>
            <w:tcBorders>
              <w:top w:val="nil"/>
              <w:left w:val="nil"/>
              <w:bottom w:val="single" w:sz="4" w:space="0" w:color="auto"/>
              <w:right w:val="single" w:sz="4" w:space="0" w:color="auto"/>
            </w:tcBorders>
            <w:shd w:val="clear" w:color="auto" w:fill="auto"/>
            <w:noWrap/>
            <w:vAlign w:val="center"/>
            <w:hideMark/>
          </w:tcPr>
          <w:p w14:paraId="7923F4B6"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8.56E-05</w:t>
            </w:r>
          </w:p>
        </w:tc>
        <w:tc>
          <w:tcPr>
            <w:tcW w:w="1000" w:type="dxa"/>
            <w:tcBorders>
              <w:top w:val="nil"/>
              <w:left w:val="nil"/>
              <w:bottom w:val="single" w:sz="4" w:space="0" w:color="auto"/>
              <w:right w:val="single" w:sz="4" w:space="0" w:color="auto"/>
            </w:tcBorders>
            <w:shd w:val="clear" w:color="auto" w:fill="auto"/>
            <w:noWrap/>
            <w:vAlign w:val="center"/>
            <w:hideMark/>
          </w:tcPr>
          <w:p w14:paraId="736FF10F"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0.0002</w:t>
            </w:r>
          </w:p>
        </w:tc>
        <w:tc>
          <w:tcPr>
            <w:tcW w:w="1000" w:type="dxa"/>
            <w:tcBorders>
              <w:top w:val="nil"/>
              <w:left w:val="nil"/>
              <w:bottom w:val="single" w:sz="4" w:space="0" w:color="auto"/>
              <w:right w:val="single" w:sz="4" w:space="0" w:color="auto"/>
            </w:tcBorders>
            <w:shd w:val="clear" w:color="auto" w:fill="auto"/>
            <w:noWrap/>
            <w:vAlign w:val="center"/>
            <w:hideMark/>
          </w:tcPr>
          <w:p w14:paraId="287FD1E6"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0.5607</w:t>
            </w:r>
          </w:p>
        </w:tc>
        <w:tc>
          <w:tcPr>
            <w:tcW w:w="1000" w:type="dxa"/>
            <w:tcBorders>
              <w:top w:val="nil"/>
              <w:left w:val="nil"/>
              <w:bottom w:val="single" w:sz="4" w:space="0" w:color="auto"/>
              <w:right w:val="single" w:sz="4" w:space="0" w:color="auto"/>
            </w:tcBorders>
            <w:shd w:val="clear" w:color="auto" w:fill="auto"/>
            <w:noWrap/>
            <w:vAlign w:val="center"/>
            <w:hideMark/>
          </w:tcPr>
          <w:p w14:paraId="4AA42B5D"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7.35%</w:t>
            </w:r>
          </w:p>
        </w:tc>
        <w:tc>
          <w:tcPr>
            <w:tcW w:w="1000" w:type="dxa"/>
            <w:tcBorders>
              <w:top w:val="nil"/>
              <w:left w:val="nil"/>
              <w:bottom w:val="single" w:sz="4" w:space="0" w:color="auto"/>
              <w:right w:val="single" w:sz="4" w:space="0" w:color="auto"/>
            </w:tcBorders>
            <w:shd w:val="clear" w:color="auto" w:fill="auto"/>
            <w:noWrap/>
            <w:vAlign w:val="center"/>
            <w:hideMark/>
          </w:tcPr>
          <w:p w14:paraId="17205B37"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15.60%</w:t>
            </w:r>
          </w:p>
        </w:tc>
        <w:tc>
          <w:tcPr>
            <w:tcW w:w="1000" w:type="dxa"/>
            <w:tcBorders>
              <w:top w:val="nil"/>
              <w:left w:val="nil"/>
              <w:bottom w:val="single" w:sz="4" w:space="0" w:color="auto"/>
              <w:right w:val="single" w:sz="4" w:space="0" w:color="auto"/>
            </w:tcBorders>
            <w:shd w:val="clear" w:color="auto" w:fill="auto"/>
            <w:noWrap/>
            <w:vAlign w:val="center"/>
            <w:hideMark/>
          </w:tcPr>
          <w:p w14:paraId="4F580AF2"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11.98%</w:t>
            </w:r>
          </w:p>
        </w:tc>
      </w:tr>
      <w:tr w:rsidR="00CF4273" w:rsidRPr="00FC346C" w14:paraId="09F86C4D" w14:textId="77777777" w:rsidTr="00C01E39">
        <w:trPr>
          <w:trHeight w:val="290"/>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910326F"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Rattan Power</w:t>
            </w:r>
          </w:p>
        </w:tc>
        <w:tc>
          <w:tcPr>
            <w:tcW w:w="1134" w:type="dxa"/>
            <w:tcBorders>
              <w:top w:val="nil"/>
              <w:left w:val="nil"/>
              <w:bottom w:val="single" w:sz="4" w:space="0" w:color="auto"/>
              <w:right w:val="single" w:sz="4" w:space="0" w:color="auto"/>
            </w:tcBorders>
            <w:shd w:val="clear" w:color="auto" w:fill="auto"/>
            <w:noWrap/>
            <w:vAlign w:val="center"/>
            <w:hideMark/>
          </w:tcPr>
          <w:p w14:paraId="4D6B8259"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8.16E-05</w:t>
            </w:r>
          </w:p>
        </w:tc>
        <w:tc>
          <w:tcPr>
            <w:tcW w:w="1000" w:type="dxa"/>
            <w:tcBorders>
              <w:top w:val="nil"/>
              <w:left w:val="nil"/>
              <w:bottom w:val="single" w:sz="4" w:space="0" w:color="auto"/>
              <w:right w:val="single" w:sz="4" w:space="0" w:color="auto"/>
            </w:tcBorders>
            <w:shd w:val="clear" w:color="auto" w:fill="auto"/>
            <w:noWrap/>
            <w:vAlign w:val="center"/>
            <w:hideMark/>
          </w:tcPr>
          <w:p w14:paraId="307468C0"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0.0002</w:t>
            </w:r>
          </w:p>
        </w:tc>
        <w:tc>
          <w:tcPr>
            <w:tcW w:w="1000" w:type="dxa"/>
            <w:tcBorders>
              <w:top w:val="nil"/>
              <w:left w:val="nil"/>
              <w:bottom w:val="single" w:sz="4" w:space="0" w:color="auto"/>
              <w:right w:val="single" w:sz="4" w:space="0" w:color="auto"/>
            </w:tcBorders>
            <w:shd w:val="clear" w:color="auto" w:fill="auto"/>
            <w:noWrap/>
            <w:vAlign w:val="center"/>
            <w:hideMark/>
          </w:tcPr>
          <w:p w14:paraId="7CE34E1C"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0.5346</w:t>
            </w:r>
          </w:p>
        </w:tc>
        <w:tc>
          <w:tcPr>
            <w:tcW w:w="1000" w:type="dxa"/>
            <w:tcBorders>
              <w:top w:val="nil"/>
              <w:left w:val="nil"/>
              <w:bottom w:val="single" w:sz="4" w:space="0" w:color="auto"/>
              <w:right w:val="single" w:sz="4" w:space="0" w:color="auto"/>
            </w:tcBorders>
            <w:shd w:val="clear" w:color="auto" w:fill="auto"/>
            <w:noWrap/>
            <w:vAlign w:val="center"/>
            <w:hideMark/>
          </w:tcPr>
          <w:p w14:paraId="37388980"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7.35%</w:t>
            </w:r>
          </w:p>
        </w:tc>
        <w:tc>
          <w:tcPr>
            <w:tcW w:w="1000" w:type="dxa"/>
            <w:tcBorders>
              <w:top w:val="nil"/>
              <w:left w:val="nil"/>
              <w:bottom w:val="single" w:sz="4" w:space="0" w:color="auto"/>
              <w:right w:val="single" w:sz="4" w:space="0" w:color="auto"/>
            </w:tcBorders>
            <w:shd w:val="clear" w:color="auto" w:fill="auto"/>
            <w:noWrap/>
            <w:vAlign w:val="center"/>
            <w:hideMark/>
          </w:tcPr>
          <w:p w14:paraId="0EFFBAC3"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15.60%</w:t>
            </w:r>
          </w:p>
        </w:tc>
        <w:tc>
          <w:tcPr>
            <w:tcW w:w="1000" w:type="dxa"/>
            <w:tcBorders>
              <w:top w:val="nil"/>
              <w:left w:val="nil"/>
              <w:bottom w:val="single" w:sz="4" w:space="0" w:color="auto"/>
              <w:right w:val="single" w:sz="4" w:space="0" w:color="auto"/>
            </w:tcBorders>
            <w:shd w:val="clear" w:color="auto" w:fill="auto"/>
            <w:noWrap/>
            <w:vAlign w:val="center"/>
            <w:hideMark/>
          </w:tcPr>
          <w:p w14:paraId="03AC745B"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11.76%</w:t>
            </w:r>
          </w:p>
        </w:tc>
      </w:tr>
      <w:tr w:rsidR="00CF4273" w:rsidRPr="00FC346C" w14:paraId="7661DEFE" w14:textId="77777777" w:rsidTr="00C01E39">
        <w:trPr>
          <w:trHeight w:val="290"/>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A5F8404"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NTPC</w:t>
            </w:r>
          </w:p>
        </w:tc>
        <w:tc>
          <w:tcPr>
            <w:tcW w:w="1134" w:type="dxa"/>
            <w:tcBorders>
              <w:top w:val="nil"/>
              <w:left w:val="nil"/>
              <w:bottom w:val="single" w:sz="4" w:space="0" w:color="auto"/>
              <w:right w:val="single" w:sz="4" w:space="0" w:color="auto"/>
            </w:tcBorders>
            <w:shd w:val="clear" w:color="auto" w:fill="auto"/>
            <w:noWrap/>
            <w:vAlign w:val="center"/>
            <w:hideMark/>
          </w:tcPr>
          <w:p w14:paraId="5D585036"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9.74E-05</w:t>
            </w:r>
          </w:p>
        </w:tc>
        <w:tc>
          <w:tcPr>
            <w:tcW w:w="1000" w:type="dxa"/>
            <w:tcBorders>
              <w:top w:val="nil"/>
              <w:left w:val="nil"/>
              <w:bottom w:val="single" w:sz="4" w:space="0" w:color="auto"/>
              <w:right w:val="single" w:sz="4" w:space="0" w:color="auto"/>
            </w:tcBorders>
            <w:shd w:val="clear" w:color="auto" w:fill="auto"/>
            <w:noWrap/>
            <w:vAlign w:val="center"/>
            <w:hideMark/>
          </w:tcPr>
          <w:p w14:paraId="200A21C1"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0.0002</w:t>
            </w:r>
          </w:p>
        </w:tc>
        <w:tc>
          <w:tcPr>
            <w:tcW w:w="1000" w:type="dxa"/>
            <w:tcBorders>
              <w:top w:val="nil"/>
              <w:left w:val="nil"/>
              <w:bottom w:val="single" w:sz="4" w:space="0" w:color="auto"/>
              <w:right w:val="single" w:sz="4" w:space="0" w:color="auto"/>
            </w:tcBorders>
            <w:shd w:val="clear" w:color="auto" w:fill="auto"/>
            <w:noWrap/>
            <w:vAlign w:val="center"/>
            <w:hideMark/>
          </w:tcPr>
          <w:p w14:paraId="3FBD9F70"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0.6384</w:t>
            </w:r>
          </w:p>
        </w:tc>
        <w:tc>
          <w:tcPr>
            <w:tcW w:w="1000" w:type="dxa"/>
            <w:tcBorders>
              <w:top w:val="nil"/>
              <w:left w:val="nil"/>
              <w:bottom w:val="single" w:sz="4" w:space="0" w:color="auto"/>
              <w:right w:val="single" w:sz="4" w:space="0" w:color="auto"/>
            </w:tcBorders>
            <w:shd w:val="clear" w:color="auto" w:fill="auto"/>
            <w:noWrap/>
            <w:vAlign w:val="center"/>
            <w:hideMark/>
          </w:tcPr>
          <w:p w14:paraId="689A599C"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7.35%</w:t>
            </w:r>
          </w:p>
        </w:tc>
        <w:tc>
          <w:tcPr>
            <w:tcW w:w="1000" w:type="dxa"/>
            <w:tcBorders>
              <w:top w:val="nil"/>
              <w:left w:val="nil"/>
              <w:bottom w:val="single" w:sz="4" w:space="0" w:color="auto"/>
              <w:right w:val="single" w:sz="4" w:space="0" w:color="auto"/>
            </w:tcBorders>
            <w:shd w:val="clear" w:color="auto" w:fill="auto"/>
            <w:noWrap/>
            <w:vAlign w:val="center"/>
            <w:hideMark/>
          </w:tcPr>
          <w:p w14:paraId="046CB248"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15.60%</w:t>
            </w:r>
          </w:p>
        </w:tc>
        <w:tc>
          <w:tcPr>
            <w:tcW w:w="1000" w:type="dxa"/>
            <w:tcBorders>
              <w:top w:val="nil"/>
              <w:left w:val="nil"/>
              <w:bottom w:val="single" w:sz="4" w:space="0" w:color="auto"/>
              <w:right w:val="single" w:sz="4" w:space="0" w:color="auto"/>
            </w:tcBorders>
            <w:shd w:val="clear" w:color="auto" w:fill="auto"/>
            <w:noWrap/>
            <w:vAlign w:val="center"/>
            <w:hideMark/>
          </w:tcPr>
          <w:p w14:paraId="59002A41"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12.62%</w:t>
            </w:r>
          </w:p>
        </w:tc>
      </w:tr>
      <w:tr w:rsidR="00CF4273" w:rsidRPr="00FC346C" w14:paraId="213CE10E" w14:textId="77777777" w:rsidTr="00C01E39">
        <w:trPr>
          <w:trHeight w:val="290"/>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3B4BF3F"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Adani Energy Sol.</w:t>
            </w:r>
          </w:p>
        </w:tc>
        <w:tc>
          <w:tcPr>
            <w:tcW w:w="1134" w:type="dxa"/>
            <w:tcBorders>
              <w:top w:val="nil"/>
              <w:left w:val="nil"/>
              <w:bottom w:val="single" w:sz="4" w:space="0" w:color="auto"/>
              <w:right w:val="single" w:sz="4" w:space="0" w:color="auto"/>
            </w:tcBorders>
            <w:shd w:val="clear" w:color="auto" w:fill="auto"/>
            <w:noWrap/>
            <w:vAlign w:val="center"/>
            <w:hideMark/>
          </w:tcPr>
          <w:p w14:paraId="681988DC"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1.25E-04</w:t>
            </w:r>
          </w:p>
        </w:tc>
        <w:tc>
          <w:tcPr>
            <w:tcW w:w="1000" w:type="dxa"/>
            <w:tcBorders>
              <w:top w:val="nil"/>
              <w:left w:val="nil"/>
              <w:bottom w:val="single" w:sz="4" w:space="0" w:color="auto"/>
              <w:right w:val="single" w:sz="4" w:space="0" w:color="auto"/>
            </w:tcBorders>
            <w:shd w:val="clear" w:color="auto" w:fill="auto"/>
            <w:noWrap/>
            <w:vAlign w:val="center"/>
            <w:hideMark/>
          </w:tcPr>
          <w:p w14:paraId="36A449DF"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0.0002</w:t>
            </w:r>
          </w:p>
        </w:tc>
        <w:tc>
          <w:tcPr>
            <w:tcW w:w="1000" w:type="dxa"/>
            <w:tcBorders>
              <w:top w:val="nil"/>
              <w:left w:val="nil"/>
              <w:bottom w:val="single" w:sz="4" w:space="0" w:color="auto"/>
              <w:right w:val="single" w:sz="4" w:space="0" w:color="auto"/>
            </w:tcBorders>
            <w:shd w:val="clear" w:color="auto" w:fill="auto"/>
            <w:noWrap/>
            <w:vAlign w:val="center"/>
            <w:hideMark/>
          </w:tcPr>
          <w:p w14:paraId="57B2C3B5"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0.8164</w:t>
            </w:r>
          </w:p>
        </w:tc>
        <w:tc>
          <w:tcPr>
            <w:tcW w:w="1000" w:type="dxa"/>
            <w:tcBorders>
              <w:top w:val="nil"/>
              <w:left w:val="nil"/>
              <w:bottom w:val="single" w:sz="4" w:space="0" w:color="auto"/>
              <w:right w:val="single" w:sz="4" w:space="0" w:color="auto"/>
            </w:tcBorders>
            <w:shd w:val="clear" w:color="auto" w:fill="auto"/>
            <w:noWrap/>
            <w:vAlign w:val="center"/>
            <w:hideMark/>
          </w:tcPr>
          <w:p w14:paraId="000ACC7A"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7.35%</w:t>
            </w:r>
          </w:p>
        </w:tc>
        <w:tc>
          <w:tcPr>
            <w:tcW w:w="1000" w:type="dxa"/>
            <w:tcBorders>
              <w:top w:val="nil"/>
              <w:left w:val="nil"/>
              <w:bottom w:val="single" w:sz="4" w:space="0" w:color="auto"/>
              <w:right w:val="single" w:sz="4" w:space="0" w:color="auto"/>
            </w:tcBorders>
            <w:shd w:val="clear" w:color="auto" w:fill="auto"/>
            <w:noWrap/>
            <w:vAlign w:val="center"/>
            <w:hideMark/>
          </w:tcPr>
          <w:p w14:paraId="39531001"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15.60%</w:t>
            </w:r>
          </w:p>
        </w:tc>
        <w:tc>
          <w:tcPr>
            <w:tcW w:w="1000" w:type="dxa"/>
            <w:tcBorders>
              <w:top w:val="nil"/>
              <w:left w:val="nil"/>
              <w:bottom w:val="single" w:sz="4" w:space="0" w:color="auto"/>
              <w:right w:val="single" w:sz="4" w:space="0" w:color="auto"/>
            </w:tcBorders>
            <w:shd w:val="clear" w:color="auto" w:fill="auto"/>
            <w:noWrap/>
            <w:vAlign w:val="center"/>
            <w:hideMark/>
          </w:tcPr>
          <w:p w14:paraId="4299CC3C"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14.09%</w:t>
            </w:r>
          </w:p>
        </w:tc>
      </w:tr>
      <w:tr w:rsidR="00CF4273" w:rsidRPr="00FC346C" w14:paraId="762ABBDA" w14:textId="77777777" w:rsidTr="00C01E39">
        <w:trPr>
          <w:trHeight w:val="290"/>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792A5F6"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SJVN</w:t>
            </w:r>
          </w:p>
        </w:tc>
        <w:tc>
          <w:tcPr>
            <w:tcW w:w="1134" w:type="dxa"/>
            <w:tcBorders>
              <w:top w:val="nil"/>
              <w:left w:val="nil"/>
              <w:bottom w:val="single" w:sz="4" w:space="0" w:color="auto"/>
              <w:right w:val="single" w:sz="4" w:space="0" w:color="auto"/>
            </w:tcBorders>
            <w:shd w:val="clear" w:color="auto" w:fill="auto"/>
            <w:noWrap/>
            <w:vAlign w:val="center"/>
            <w:hideMark/>
          </w:tcPr>
          <w:p w14:paraId="0FF599F9"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7.01E-05</w:t>
            </w:r>
          </w:p>
        </w:tc>
        <w:tc>
          <w:tcPr>
            <w:tcW w:w="1000" w:type="dxa"/>
            <w:tcBorders>
              <w:top w:val="nil"/>
              <w:left w:val="nil"/>
              <w:bottom w:val="single" w:sz="4" w:space="0" w:color="auto"/>
              <w:right w:val="single" w:sz="4" w:space="0" w:color="auto"/>
            </w:tcBorders>
            <w:shd w:val="clear" w:color="auto" w:fill="auto"/>
            <w:noWrap/>
            <w:vAlign w:val="center"/>
            <w:hideMark/>
          </w:tcPr>
          <w:p w14:paraId="5C20A37F"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0.0002</w:t>
            </w:r>
          </w:p>
        </w:tc>
        <w:tc>
          <w:tcPr>
            <w:tcW w:w="1000" w:type="dxa"/>
            <w:tcBorders>
              <w:top w:val="nil"/>
              <w:left w:val="nil"/>
              <w:bottom w:val="single" w:sz="4" w:space="0" w:color="auto"/>
              <w:right w:val="single" w:sz="4" w:space="0" w:color="auto"/>
            </w:tcBorders>
            <w:shd w:val="clear" w:color="auto" w:fill="auto"/>
            <w:noWrap/>
            <w:vAlign w:val="center"/>
            <w:hideMark/>
          </w:tcPr>
          <w:p w14:paraId="6B2D2842"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0.4595</w:t>
            </w:r>
          </w:p>
        </w:tc>
        <w:tc>
          <w:tcPr>
            <w:tcW w:w="1000" w:type="dxa"/>
            <w:tcBorders>
              <w:top w:val="nil"/>
              <w:left w:val="nil"/>
              <w:bottom w:val="single" w:sz="4" w:space="0" w:color="auto"/>
              <w:right w:val="single" w:sz="4" w:space="0" w:color="auto"/>
            </w:tcBorders>
            <w:shd w:val="clear" w:color="auto" w:fill="auto"/>
            <w:noWrap/>
            <w:vAlign w:val="center"/>
            <w:hideMark/>
          </w:tcPr>
          <w:p w14:paraId="3E6E661C"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7.35%</w:t>
            </w:r>
          </w:p>
        </w:tc>
        <w:tc>
          <w:tcPr>
            <w:tcW w:w="1000" w:type="dxa"/>
            <w:tcBorders>
              <w:top w:val="nil"/>
              <w:left w:val="nil"/>
              <w:bottom w:val="single" w:sz="4" w:space="0" w:color="auto"/>
              <w:right w:val="single" w:sz="4" w:space="0" w:color="auto"/>
            </w:tcBorders>
            <w:shd w:val="clear" w:color="auto" w:fill="auto"/>
            <w:noWrap/>
            <w:vAlign w:val="center"/>
            <w:hideMark/>
          </w:tcPr>
          <w:p w14:paraId="2C501D02"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15.60%</w:t>
            </w:r>
          </w:p>
        </w:tc>
        <w:tc>
          <w:tcPr>
            <w:tcW w:w="1000" w:type="dxa"/>
            <w:tcBorders>
              <w:top w:val="nil"/>
              <w:left w:val="nil"/>
              <w:bottom w:val="single" w:sz="4" w:space="0" w:color="auto"/>
              <w:right w:val="single" w:sz="4" w:space="0" w:color="auto"/>
            </w:tcBorders>
            <w:shd w:val="clear" w:color="auto" w:fill="auto"/>
            <w:noWrap/>
            <w:vAlign w:val="center"/>
            <w:hideMark/>
          </w:tcPr>
          <w:p w14:paraId="1875B197"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11.14%</w:t>
            </w:r>
          </w:p>
        </w:tc>
      </w:tr>
      <w:tr w:rsidR="00CF4273" w:rsidRPr="00FC346C" w14:paraId="4C490784" w14:textId="77777777" w:rsidTr="00C01E39">
        <w:trPr>
          <w:trHeight w:val="290"/>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0759DC5"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NLC</w:t>
            </w:r>
          </w:p>
        </w:tc>
        <w:tc>
          <w:tcPr>
            <w:tcW w:w="1134" w:type="dxa"/>
            <w:tcBorders>
              <w:top w:val="nil"/>
              <w:left w:val="nil"/>
              <w:bottom w:val="single" w:sz="4" w:space="0" w:color="auto"/>
              <w:right w:val="single" w:sz="4" w:space="0" w:color="auto"/>
            </w:tcBorders>
            <w:shd w:val="clear" w:color="auto" w:fill="auto"/>
            <w:noWrap/>
            <w:vAlign w:val="center"/>
            <w:hideMark/>
          </w:tcPr>
          <w:p w14:paraId="1B3266E9"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9.81E-05</w:t>
            </w:r>
          </w:p>
        </w:tc>
        <w:tc>
          <w:tcPr>
            <w:tcW w:w="1000" w:type="dxa"/>
            <w:tcBorders>
              <w:top w:val="nil"/>
              <w:left w:val="nil"/>
              <w:bottom w:val="single" w:sz="4" w:space="0" w:color="auto"/>
              <w:right w:val="single" w:sz="4" w:space="0" w:color="auto"/>
            </w:tcBorders>
            <w:shd w:val="clear" w:color="auto" w:fill="auto"/>
            <w:noWrap/>
            <w:vAlign w:val="center"/>
            <w:hideMark/>
          </w:tcPr>
          <w:p w14:paraId="77A2B209"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0.0002</w:t>
            </w:r>
          </w:p>
        </w:tc>
        <w:tc>
          <w:tcPr>
            <w:tcW w:w="1000" w:type="dxa"/>
            <w:tcBorders>
              <w:top w:val="nil"/>
              <w:left w:val="nil"/>
              <w:bottom w:val="single" w:sz="4" w:space="0" w:color="auto"/>
              <w:right w:val="single" w:sz="4" w:space="0" w:color="auto"/>
            </w:tcBorders>
            <w:shd w:val="clear" w:color="auto" w:fill="auto"/>
            <w:noWrap/>
            <w:vAlign w:val="center"/>
            <w:hideMark/>
          </w:tcPr>
          <w:p w14:paraId="379508B8"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0.6427</w:t>
            </w:r>
          </w:p>
        </w:tc>
        <w:tc>
          <w:tcPr>
            <w:tcW w:w="1000" w:type="dxa"/>
            <w:tcBorders>
              <w:top w:val="nil"/>
              <w:left w:val="nil"/>
              <w:bottom w:val="single" w:sz="4" w:space="0" w:color="auto"/>
              <w:right w:val="single" w:sz="4" w:space="0" w:color="auto"/>
            </w:tcBorders>
            <w:shd w:val="clear" w:color="auto" w:fill="auto"/>
            <w:noWrap/>
            <w:vAlign w:val="center"/>
            <w:hideMark/>
          </w:tcPr>
          <w:p w14:paraId="6B7C41A6"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7.35%</w:t>
            </w:r>
          </w:p>
        </w:tc>
        <w:tc>
          <w:tcPr>
            <w:tcW w:w="1000" w:type="dxa"/>
            <w:tcBorders>
              <w:top w:val="nil"/>
              <w:left w:val="nil"/>
              <w:bottom w:val="single" w:sz="4" w:space="0" w:color="auto"/>
              <w:right w:val="single" w:sz="4" w:space="0" w:color="auto"/>
            </w:tcBorders>
            <w:shd w:val="clear" w:color="auto" w:fill="auto"/>
            <w:noWrap/>
            <w:vAlign w:val="center"/>
            <w:hideMark/>
          </w:tcPr>
          <w:p w14:paraId="18EF7019"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15.60%</w:t>
            </w:r>
          </w:p>
        </w:tc>
        <w:tc>
          <w:tcPr>
            <w:tcW w:w="1000" w:type="dxa"/>
            <w:tcBorders>
              <w:top w:val="nil"/>
              <w:left w:val="nil"/>
              <w:bottom w:val="single" w:sz="4" w:space="0" w:color="auto"/>
              <w:right w:val="single" w:sz="4" w:space="0" w:color="auto"/>
            </w:tcBorders>
            <w:shd w:val="clear" w:color="auto" w:fill="auto"/>
            <w:noWrap/>
            <w:vAlign w:val="center"/>
            <w:hideMark/>
          </w:tcPr>
          <w:p w14:paraId="34AC2D0C"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12.65%</w:t>
            </w:r>
          </w:p>
        </w:tc>
      </w:tr>
      <w:tr w:rsidR="00CF4273" w:rsidRPr="00FC346C" w14:paraId="638F58F2" w14:textId="77777777" w:rsidTr="00C01E39">
        <w:trPr>
          <w:trHeight w:val="290"/>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8B22AD9"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NHPC</w:t>
            </w:r>
          </w:p>
        </w:tc>
        <w:tc>
          <w:tcPr>
            <w:tcW w:w="1134" w:type="dxa"/>
            <w:tcBorders>
              <w:top w:val="nil"/>
              <w:left w:val="nil"/>
              <w:bottom w:val="single" w:sz="4" w:space="0" w:color="auto"/>
              <w:right w:val="single" w:sz="4" w:space="0" w:color="auto"/>
            </w:tcBorders>
            <w:shd w:val="clear" w:color="auto" w:fill="auto"/>
            <w:noWrap/>
            <w:vAlign w:val="center"/>
            <w:hideMark/>
          </w:tcPr>
          <w:p w14:paraId="56227CC8"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8.48E-05</w:t>
            </w:r>
          </w:p>
        </w:tc>
        <w:tc>
          <w:tcPr>
            <w:tcW w:w="1000" w:type="dxa"/>
            <w:tcBorders>
              <w:top w:val="nil"/>
              <w:left w:val="nil"/>
              <w:bottom w:val="single" w:sz="4" w:space="0" w:color="auto"/>
              <w:right w:val="single" w:sz="4" w:space="0" w:color="auto"/>
            </w:tcBorders>
            <w:shd w:val="clear" w:color="auto" w:fill="auto"/>
            <w:noWrap/>
            <w:vAlign w:val="center"/>
            <w:hideMark/>
          </w:tcPr>
          <w:p w14:paraId="0419D61B"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0.0002</w:t>
            </w:r>
          </w:p>
        </w:tc>
        <w:tc>
          <w:tcPr>
            <w:tcW w:w="1000" w:type="dxa"/>
            <w:tcBorders>
              <w:top w:val="nil"/>
              <w:left w:val="nil"/>
              <w:bottom w:val="single" w:sz="4" w:space="0" w:color="auto"/>
              <w:right w:val="single" w:sz="4" w:space="0" w:color="auto"/>
            </w:tcBorders>
            <w:shd w:val="clear" w:color="auto" w:fill="auto"/>
            <w:noWrap/>
            <w:vAlign w:val="center"/>
            <w:hideMark/>
          </w:tcPr>
          <w:p w14:paraId="6E378E4A"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0.5559</w:t>
            </w:r>
          </w:p>
        </w:tc>
        <w:tc>
          <w:tcPr>
            <w:tcW w:w="1000" w:type="dxa"/>
            <w:tcBorders>
              <w:top w:val="nil"/>
              <w:left w:val="nil"/>
              <w:bottom w:val="single" w:sz="4" w:space="0" w:color="auto"/>
              <w:right w:val="single" w:sz="4" w:space="0" w:color="auto"/>
            </w:tcBorders>
            <w:shd w:val="clear" w:color="auto" w:fill="auto"/>
            <w:noWrap/>
            <w:vAlign w:val="center"/>
            <w:hideMark/>
          </w:tcPr>
          <w:p w14:paraId="645AADD5"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7.35%</w:t>
            </w:r>
          </w:p>
        </w:tc>
        <w:tc>
          <w:tcPr>
            <w:tcW w:w="1000" w:type="dxa"/>
            <w:tcBorders>
              <w:top w:val="nil"/>
              <w:left w:val="nil"/>
              <w:bottom w:val="single" w:sz="4" w:space="0" w:color="auto"/>
              <w:right w:val="single" w:sz="4" w:space="0" w:color="auto"/>
            </w:tcBorders>
            <w:shd w:val="clear" w:color="auto" w:fill="auto"/>
            <w:noWrap/>
            <w:vAlign w:val="center"/>
            <w:hideMark/>
          </w:tcPr>
          <w:p w14:paraId="05CBB573"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15.60%</w:t>
            </w:r>
          </w:p>
        </w:tc>
        <w:tc>
          <w:tcPr>
            <w:tcW w:w="1000" w:type="dxa"/>
            <w:tcBorders>
              <w:top w:val="nil"/>
              <w:left w:val="nil"/>
              <w:bottom w:val="single" w:sz="4" w:space="0" w:color="auto"/>
              <w:right w:val="single" w:sz="4" w:space="0" w:color="auto"/>
            </w:tcBorders>
            <w:shd w:val="clear" w:color="auto" w:fill="auto"/>
            <w:noWrap/>
            <w:vAlign w:val="center"/>
            <w:hideMark/>
          </w:tcPr>
          <w:p w14:paraId="72FCB3EC" w14:textId="77777777" w:rsidR="00CF4273" w:rsidRPr="00FC346C" w:rsidRDefault="00CF4273" w:rsidP="00C01E39">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11.94%</w:t>
            </w:r>
          </w:p>
        </w:tc>
      </w:tr>
    </w:tbl>
    <w:p w14:paraId="0D5431A1" w14:textId="77777777" w:rsidR="00CF4273" w:rsidRPr="00FC346C" w:rsidRDefault="00CF4273" w:rsidP="00352DD7">
      <w:pPr>
        <w:pStyle w:val="Default"/>
        <w:spacing w:line="360" w:lineRule="auto"/>
        <w:ind w:left="284"/>
        <w:jc w:val="both"/>
        <w:rPr>
          <w:rFonts w:ascii="Times New Roman" w:hAnsi="Times New Roman" w:cs="Times New Roman"/>
          <w:sz w:val="23"/>
          <w:szCs w:val="23"/>
        </w:rPr>
      </w:pPr>
    </w:p>
    <w:p w14:paraId="7200AEAC" w14:textId="77777777" w:rsidR="00CF4273" w:rsidRPr="00FC346C" w:rsidRDefault="00CF4273" w:rsidP="00352DD7">
      <w:pPr>
        <w:pStyle w:val="Default"/>
        <w:spacing w:line="360" w:lineRule="auto"/>
        <w:ind w:left="284"/>
        <w:jc w:val="both"/>
        <w:rPr>
          <w:rFonts w:ascii="Times New Roman" w:hAnsi="Times New Roman" w:cs="Times New Roman"/>
          <w:sz w:val="23"/>
          <w:szCs w:val="23"/>
        </w:rPr>
      </w:pPr>
      <w:r w:rsidRPr="00FC346C">
        <w:rPr>
          <w:rFonts w:ascii="Times New Roman" w:hAnsi="Times New Roman" w:cs="Times New Roman"/>
          <w:sz w:val="23"/>
          <w:szCs w:val="23"/>
        </w:rPr>
        <w:t>Scenario-1 analysis suggests that the expected returns for most companies are below 15%, except for Tata Power and Adani Power, which stand out as exceptions.</w:t>
      </w:r>
    </w:p>
    <w:p w14:paraId="1F39FDBD" w14:textId="77777777" w:rsidR="00CF4273" w:rsidRPr="00FC346C" w:rsidRDefault="00CF4273" w:rsidP="00352DD7">
      <w:pPr>
        <w:pStyle w:val="Default"/>
        <w:spacing w:line="360" w:lineRule="auto"/>
        <w:ind w:left="284"/>
        <w:jc w:val="both"/>
        <w:rPr>
          <w:rFonts w:ascii="Times New Roman" w:hAnsi="Times New Roman" w:cs="Times New Roman"/>
          <w:b/>
          <w:i/>
          <w:sz w:val="23"/>
          <w:szCs w:val="23"/>
          <w:u w:val="single"/>
        </w:rPr>
      </w:pPr>
    </w:p>
    <w:p w14:paraId="0EC7FBE1" w14:textId="77777777" w:rsidR="00CF4273" w:rsidRPr="00FC346C" w:rsidRDefault="00CF4273" w:rsidP="00352DD7">
      <w:pPr>
        <w:pStyle w:val="Default"/>
        <w:spacing w:line="360" w:lineRule="auto"/>
        <w:ind w:left="284"/>
        <w:jc w:val="both"/>
        <w:rPr>
          <w:rFonts w:ascii="Times New Roman" w:hAnsi="Times New Roman" w:cs="Times New Roman"/>
          <w:iCs/>
          <w:sz w:val="23"/>
          <w:szCs w:val="23"/>
        </w:rPr>
      </w:pPr>
      <w:r w:rsidRPr="00FC346C">
        <w:rPr>
          <w:rFonts w:ascii="Times New Roman" w:hAnsi="Times New Roman" w:cs="Times New Roman"/>
          <w:b/>
          <w:iCs/>
          <w:sz w:val="23"/>
          <w:szCs w:val="23"/>
        </w:rPr>
        <w:t>Scenario – II</w:t>
      </w:r>
    </w:p>
    <w:p w14:paraId="29168D67" w14:textId="77777777" w:rsidR="00CF4273" w:rsidRPr="00FC346C" w:rsidRDefault="00CF4273" w:rsidP="00352DD7">
      <w:pPr>
        <w:pStyle w:val="Default"/>
        <w:spacing w:line="360" w:lineRule="auto"/>
        <w:ind w:left="284"/>
        <w:jc w:val="both"/>
        <w:rPr>
          <w:rFonts w:ascii="Times New Roman" w:hAnsi="Times New Roman" w:cs="Times New Roman"/>
          <w:sz w:val="23"/>
          <w:szCs w:val="23"/>
        </w:rPr>
      </w:pPr>
      <w:r w:rsidRPr="00FC346C">
        <w:rPr>
          <w:rFonts w:ascii="Times New Roman" w:hAnsi="Times New Roman" w:cs="Times New Roman"/>
          <w:sz w:val="23"/>
          <w:szCs w:val="23"/>
        </w:rPr>
        <w:t>Risk Free Rate considered – 7.35%</w:t>
      </w:r>
    </w:p>
    <w:p w14:paraId="613B77C4" w14:textId="77777777" w:rsidR="00CF4273" w:rsidRPr="00FC346C" w:rsidRDefault="00CF4273" w:rsidP="00352DD7">
      <w:pPr>
        <w:pStyle w:val="Default"/>
        <w:spacing w:line="360" w:lineRule="auto"/>
        <w:ind w:left="284"/>
        <w:jc w:val="both"/>
        <w:rPr>
          <w:rFonts w:ascii="Times New Roman" w:hAnsi="Times New Roman" w:cs="Times New Roman"/>
          <w:sz w:val="23"/>
          <w:szCs w:val="23"/>
        </w:rPr>
      </w:pPr>
      <w:r w:rsidRPr="00FC346C">
        <w:rPr>
          <w:rFonts w:ascii="Times New Roman" w:hAnsi="Times New Roman" w:cs="Times New Roman"/>
          <w:sz w:val="23"/>
          <w:szCs w:val="23"/>
        </w:rPr>
        <w:t>Risk Premium considered (CAGR latest 5 financial years of the BSE Sensex) – 15.60%</w:t>
      </w:r>
    </w:p>
    <w:p w14:paraId="416E81C1" w14:textId="77777777" w:rsidR="00CF4273" w:rsidRPr="00FC346C" w:rsidRDefault="00CF4273" w:rsidP="00352DD7">
      <w:pPr>
        <w:pStyle w:val="Default"/>
        <w:spacing w:line="360" w:lineRule="auto"/>
        <w:ind w:left="284"/>
        <w:jc w:val="both"/>
        <w:rPr>
          <w:rFonts w:ascii="Times New Roman" w:hAnsi="Times New Roman" w:cs="Times New Roman"/>
          <w:sz w:val="23"/>
          <w:szCs w:val="23"/>
        </w:rPr>
      </w:pPr>
      <w:r w:rsidRPr="00FC346C">
        <w:rPr>
          <w:rFonts w:ascii="Times New Roman" w:hAnsi="Times New Roman" w:cs="Times New Roman"/>
          <w:sz w:val="23"/>
          <w:szCs w:val="23"/>
        </w:rPr>
        <w:t xml:space="preserve">Beta – </w:t>
      </w:r>
    </w:p>
    <w:p w14:paraId="40CD64D2" w14:textId="77777777" w:rsidR="008D3EF3" w:rsidRPr="00FC346C" w:rsidRDefault="00CF4273" w:rsidP="00352DD7">
      <w:pPr>
        <w:pStyle w:val="Default"/>
        <w:spacing w:line="360" w:lineRule="auto"/>
        <w:ind w:left="284"/>
        <w:jc w:val="both"/>
        <w:rPr>
          <w:rFonts w:ascii="Times New Roman" w:hAnsi="Times New Roman" w:cs="Times New Roman"/>
          <w:sz w:val="23"/>
          <w:szCs w:val="23"/>
        </w:rPr>
      </w:pPr>
      <w:r w:rsidRPr="00FC346C">
        <w:rPr>
          <w:rFonts w:ascii="Times New Roman" w:hAnsi="Times New Roman" w:cs="Times New Roman"/>
          <w:sz w:val="23"/>
          <w:szCs w:val="23"/>
        </w:rPr>
        <w:t xml:space="preserve">To compute the beta, the BSE Power Index was considered for the period </w:t>
      </w:r>
      <w:r w:rsidR="008D3EF3" w:rsidRPr="00FC346C">
        <w:rPr>
          <w:rFonts w:ascii="Times New Roman" w:hAnsi="Times New Roman" w:cs="Times New Roman"/>
          <w:sz w:val="23"/>
          <w:szCs w:val="23"/>
        </w:rPr>
        <w:t>FY 2019-20 to FY 2023-24.</w:t>
      </w:r>
    </w:p>
    <w:p w14:paraId="60C47A80" w14:textId="0025C3E6" w:rsidR="00CF4273" w:rsidRPr="00FC346C" w:rsidRDefault="00CF4273" w:rsidP="00352DD7">
      <w:pPr>
        <w:pStyle w:val="Default"/>
        <w:spacing w:line="360" w:lineRule="auto"/>
        <w:ind w:left="284"/>
        <w:jc w:val="both"/>
        <w:rPr>
          <w:rFonts w:ascii="Times New Roman" w:hAnsi="Times New Roman" w:cs="Times New Roman"/>
          <w:sz w:val="23"/>
          <w:szCs w:val="23"/>
        </w:rPr>
      </w:pPr>
      <w:r w:rsidRPr="00FC346C">
        <w:rPr>
          <w:rFonts w:ascii="Times New Roman" w:hAnsi="Times New Roman" w:cs="Times New Roman"/>
          <w:sz w:val="23"/>
          <w:szCs w:val="23"/>
        </w:rPr>
        <w:t>The expected returns calculated is mentioned in the table below</w:t>
      </w:r>
      <w:r w:rsidR="008D3EF3" w:rsidRPr="00FC346C">
        <w:rPr>
          <w:rFonts w:ascii="Times New Roman" w:hAnsi="Times New Roman" w:cs="Times New Roman"/>
          <w:sz w:val="23"/>
          <w:szCs w:val="23"/>
        </w:rPr>
        <w:t>:</w:t>
      </w:r>
    </w:p>
    <w:p w14:paraId="35EAEB58" w14:textId="77777777" w:rsidR="003151CA" w:rsidRPr="00FC346C" w:rsidRDefault="003151CA" w:rsidP="00352DD7">
      <w:pPr>
        <w:pStyle w:val="Default"/>
        <w:spacing w:line="360" w:lineRule="auto"/>
        <w:ind w:left="284"/>
        <w:jc w:val="both"/>
        <w:rPr>
          <w:rFonts w:ascii="Times New Roman" w:hAnsi="Times New Roman" w:cs="Times New Roman"/>
          <w:sz w:val="23"/>
          <w:szCs w:val="23"/>
        </w:rPr>
      </w:pPr>
    </w:p>
    <w:tbl>
      <w:tblPr>
        <w:tblW w:w="2689" w:type="dxa"/>
        <w:jc w:val="center"/>
        <w:tblLook w:val="04A0" w:firstRow="1" w:lastRow="0" w:firstColumn="1" w:lastColumn="0" w:noHBand="0" w:noVBand="1"/>
      </w:tblPr>
      <w:tblGrid>
        <w:gridCol w:w="1315"/>
        <w:gridCol w:w="1484"/>
      </w:tblGrid>
      <w:tr w:rsidR="00CF4273" w:rsidRPr="00FC346C" w14:paraId="79694B37" w14:textId="77777777" w:rsidTr="00C01E39">
        <w:trPr>
          <w:trHeight w:val="290"/>
          <w:tblHeader/>
          <w:jc w:val="center"/>
        </w:trPr>
        <w:tc>
          <w:tcPr>
            <w:tcW w:w="1205"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C9C6CEB" w14:textId="77777777" w:rsidR="00CF4273" w:rsidRPr="00FC346C" w:rsidRDefault="00CF4273" w:rsidP="00352DD7">
            <w:pPr>
              <w:spacing w:after="0" w:line="360" w:lineRule="auto"/>
              <w:contextualSpacing/>
              <w:jc w:val="center"/>
              <w:rPr>
                <w:rFonts w:ascii="Times New Roman" w:eastAsia="Times New Roman" w:hAnsi="Times New Roman" w:cs="Times New Roman"/>
                <w:b/>
                <w:bCs/>
                <w:sz w:val="23"/>
                <w:szCs w:val="23"/>
                <w:lang w:eastAsia="en-IN"/>
              </w:rPr>
            </w:pPr>
            <w:r w:rsidRPr="00FC346C">
              <w:rPr>
                <w:rFonts w:ascii="Times New Roman" w:eastAsia="Times New Roman" w:hAnsi="Times New Roman" w:cs="Times New Roman"/>
                <w:b/>
                <w:bCs/>
                <w:sz w:val="23"/>
                <w:szCs w:val="23"/>
                <w:lang w:eastAsia="en-IN"/>
              </w:rPr>
              <w:t>Particulars</w:t>
            </w:r>
          </w:p>
        </w:tc>
        <w:tc>
          <w:tcPr>
            <w:tcW w:w="1484"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480B6D34" w14:textId="77777777" w:rsidR="00CF4273" w:rsidRPr="00FC346C" w:rsidRDefault="00CF4273" w:rsidP="00352DD7">
            <w:pPr>
              <w:spacing w:after="0" w:line="360" w:lineRule="auto"/>
              <w:contextualSpacing/>
              <w:jc w:val="center"/>
              <w:rPr>
                <w:rFonts w:ascii="Times New Roman" w:eastAsia="Times New Roman" w:hAnsi="Times New Roman" w:cs="Times New Roman"/>
                <w:b/>
                <w:bCs/>
                <w:sz w:val="23"/>
                <w:szCs w:val="23"/>
                <w:lang w:eastAsia="en-IN"/>
              </w:rPr>
            </w:pPr>
            <w:r w:rsidRPr="00FC346C">
              <w:rPr>
                <w:rFonts w:ascii="Times New Roman" w:eastAsia="Times New Roman" w:hAnsi="Times New Roman" w:cs="Times New Roman"/>
                <w:b/>
                <w:bCs/>
                <w:sz w:val="23"/>
                <w:szCs w:val="23"/>
                <w:lang w:eastAsia="en-IN"/>
              </w:rPr>
              <w:t>BSE Power</w:t>
            </w:r>
          </w:p>
        </w:tc>
      </w:tr>
      <w:tr w:rsidR="00CF4273" w:rsidRPr="00FC346C" w14:paraId="6444AC7D" w14:textId="77777777" w:rsidTr="00B62DE5">
        <w:trPr>
          <w:trHeight w:val="290"/>
          <w:jc w:val="center"/>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14:paraId="57776953" w14:textId="77777777" w:rsidR="00CF4273" w:rsidRPr="00FC346C" w:rsidRDefault="00CF4273" w:rsidP="00352DD7">
            <w:pPr>
              <w:spacing w:after="0" w:line="360" w:lineRule="auto"/>
              <w:contextualSpacing/>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Covariance</w:t>
            </w:r>
          </w:p>
        </w:tc>
        <w:tc>
          <w:tcPr>
            <w:tcW w:w="1484" w:type="dxa"/>
            <w:tcBorders>
              <w:top w:val="nil"/>
              <w:left w:val="nil"/>
              <w:bottom w:val="single" w:sz="4" w:space="0" w:color="auto"/>
              <w:right w:val="single" w:sz="4" w:space="0" w:color="auto"/>
            </w:tcBorders>
            <w:shd w:val="clear" w:color="auto" w:fill="auto"/>
            <w:noWrap/>
            <w:vAlign w:val="center"/>
            <w:hideMark/>
          </w:tcPr>
          <w:p w14:paraId="1B10882B" w14:textId="77777777" w:rsidR="00CF4273" w:rsidRPr="00FC346C" w:rsidRDefault="00CF4273" w:rsidP="00352DD7">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0.0001</w:t>
            </w:r>
          </w:p>
        </w:tc>
      </w:tr>
      <w:tr w:rsidR="00CF4273" w:rsidRPr="00FC346C" w14:paraId="3741CA0C" w14:textId="77777777" w:rsidTr="00B62DE5">
        <w:trPr>
          <w:trHeight w:val="290"/>
          <w:jc w:val="center"/>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14:paraId="399A3391" w14:textId="77777777" w:rsidR="00CF4273" w:rsidRPr="00FC346C" w:rsidRDefault="00CF4273" w:rsidP="00352DD7">
            <w:pPr>
              <w:spacing w:after="0" w:line="360" w:lineRule="auto"/>
              <w:contextualSpacing/>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Variance</w:t>
            </w:r>
          </w:p>
        </w:tc>
        <w:tc>
          <w:tcPr>
            <w:tcW w:w="1484" w:type="dxa"/>
            <w:tcBorders>
              <w:top w:val="nil"/>
              <w:left w:val="nil"/>
              <w:bottom w:val="single" w:sz="4" w:space="0" w:color="auto"/>
              <w:right w:val="single" w:sz="4" w:space="0" w:color="auto"/>
            </w:tcBorders>
            <w:shd w:val="clear" w:color="auto" w:fill="auto"/>
            <w:noWrap/>
            <w:vAlign w:val="center"/>
            <w:hideMark/>
          </w:tcPr>
          <w:p w14:paraId="6BB91AB0" w14:textId="77777777" w:rsidR="00CF4273" w:rsidRPr="00FC346C" w:rsidRDefault="00CF4273" w:rsidP="00352DD7">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0.0002</w:t>
            </w:r>
          </w:p>
        </w:tc>
      </w:tr>
      <w:tr w:rsidR="00CF4273" w:rsidRPr="00FC346C" w14:paraId="44630A72" w14:textId="77777777" w:rsidTr="00B62DE5">
        <w:trPr>
          <w:trHeight w:val="290"/>
          <w:jc w:val="center"/>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14:paraId="71F10ECA" w14:textId="77777777" w:rsidR="00CF4273" w:rsidRPr="00FC346C" w:rsidRDefault="00CF4273" w:rsidP="00352DD7">
            <w:pPr>
              <w:spacing w:after="0" w:line="360" w:lineRule="auto"/>
              <w:contextualSpacing/>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Beta</w:t>
            </w:r>
          </w:p>
        </w:tc>
        <w:tc>
          <w:tcPr>
            <w:tcW w:w="1484" w:type="dxa"/>
            <w:tcBorders>
              <w:top w:val="nil"/>
              <w:left w:val="nil"/>
              <w:bottom w:val="single" w:sz="4" w:space="0" w:color="auto"/>
              <w:right w:val="single" w:sz="4" w:space="0" w:color="auto"/>
            </w:tcBorders>
            <w:shd w:val="clear" w:color="auto" w:fill="auto"/>
            <w:noWrap/>
            <w:vAlign w:val="center"/>
            <w:hideMark/>
          </w:tcPr>
          <w:p w14:paraId="47D152D2" w14:textId="77777777" w:rsidR="00CF4273" w:rsidRPr="00FC346C" w:rsidRDefault="00CF4273" w:rsidP="00352DD7">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0.7249</w:t>
            </w:r>
          </w:p>
        </w:tc>
      </w:tr>
      <w:tr w:rsidR="00CF4273" w:rsidRPr="00FC346C" w14:paraId="4AEFA064" w14:textId="77777777" w:rsidTr="00B62DE5">
        <w:trPr>
          <w:trHeight w:val="290"/>
          <w:jc w:val="center"/>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14:paraId="26948E2F" w14:textId="77777777" w:rsidR="00CF4273" w:rsidRPr="00FC346C" w:rsidRDefault="00CF4273" w:rsidP="00352DD7">
            <w:pPr>
              <w:spacing w:after="0" w:line="360" w:lineRule="auto"/>
              <w:contextualSpacing/>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Rf</w:t>
            </w:r>
          </w:p>
        </w:tc>
        <w:tc>
          <w:tcPr>
            <w:tcW w:w="1484" w:type="dxa"/>
            <w:tcBorders>
              <w:top w:val="nil"/>
              <w:left w:val="nil"/>
              <w:bottom w:val="single" w:sz="4" w:space="0" w:color="auto"/>
              <w:right w:val="single" w:sz="4" w:space="0" w:color="auto"/>
            </w:tcBorders>
            <w:shd w:val="clear" w:color="auto" w:fill="auto"/>
            <w:noWrap/>
            <w:vAlign w:val="center"/>
            <w:hideMark/>
          </w:tcPr>
          <w:p w14:paraId="2C1F6197" w14:textId="77777777" w:rsidR="00CF4273" w:rsidRPr="00FC346C" w:rsidRDefault="00CF4273" w:rsidP="00352DD7">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7.35%</w:t>
            </w:r>
          </w:p>
        </w:tc>
      </w:tr>
      <w:tr w:rsidR="00CF4273" w:rsidRPr="00FC346C" w14:paraId="525F7304" w14:textId="77777777" w:rsidTr="00B62DE5">
        <w:trPr>
          <w:trHeight w:val="290"/>
          <w:jc w:val="center"/>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14:paraId="65E9018E" w14:textId="77777777" w:rsidR="00CF4273" w:rsidRPr="00FC346C" w:rsidRDefault="00CF4273" w:rsidP="00352DD7">
            <w:pPr>
              <w:spacing w:after="0" w:line="360" w:lineRule="auto"/>
              <w:contextualSpacing/>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Rm</w:t>
            </w:r>
          </w:p>
        </w:tc>
        <w:tc>
          <w:tcPr>
            <w:tcW w:w="1484" w:type="dxa"/>
            <w:tcBorders>
              <w:top w:val="nil"/>
              <w:left w:val="nil"/>
              <w:bottom w:val="single" w:sz="4" w:space="0" w:color="auto"/>
              <w:right w:val="single" w:sz="4" w:space="0" w:color="auto"/>
            </w:tcBorders>
            <w:shd w:val="clear" w:color="auto" w:fill="auto"/>
            <w:noWrap/>
            <w:vAlign w:val="center"/>
            <w:hideMark/>
          </w:tcPr>
          <w:p w14:paraId="36ED8DA3" w14:textId="77777777" w:rsidR="00CF4273" w:rsidRPr="00FC346C" w:rsidRDefault="00CF4273" w:rsidP="00352DD7">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15.60%</w:t>
            </w:r>
          </w:p>
        </w:tc>
      </w:tr>
      <w:tr w:rsidR="00CF4273" w:rsidRPr="00FC346C" w14:paraId="03C12899" w14:textId="77777777" w:rsidTr="00B62DE5">
        <w:trPr>
          <w:trHeight w:val="290"/>
          <w:jc w:val="center"/>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14:paraId="32CC4143" w14:textId="77777777" w:rsidR="00CF4273" w:rsidRPr="00FC346C" w:rsidRDefault="00CF4273" w:rsidP="00352DD7">
            <w:pPr>
              <w:spacing w:after="0" w:line="360" w:lineRule="auto"/>
              <w:contextualSpacing/>
              <w:jc w:val="center"/>
              <w:rPr>
                <w:rFonts w:ascii="Times New Roman" w:eastAsia="Times New Roman" w:hAnsi="Times New Roman" w:cs="Times New Roman"/>
                <w:b/>
                <w:color w:val="000000"/>
                <w:sz w:val="23"/>
                <w:szCs w:val="23"/>
                <w:lang w:eastAsia="en-IN"/>
              </w:rPr>
            </w:pPr>
            <w:r w:rsidRPr="00FC346C">
              <w:rPr>
                <w:rFonts w:ascii="Times New Roman" w:eastAsia="Times New Roman" w:hAnsi="Times New Roman" w:cs="Times New Roman"/>
                <w:b/>
                <w:color w:val="000000"/>
                <w:sz w:val="23"/>
                <w:szCs w:val="23"/>
                <w:lang w:eastAsia="en-IN"/>
              </w:rPr>
              <w:t>Re</w:t>
            </w:r>
          </w:p>
        </w:tc>
        <w:tc>
          <w:tcPr>
            <w:tcW w:w="1484" w:type="dxa"/>
            <w:tcBorders>
              <w:top w:val="nil"/>
              <w:left w:val="nil"/>
              <w:bottom w:val="single" w:sz="4" w:space="0" w:color="auto"/>
              <w:right w:val="single" w:sz="4" w:space="0" w:color="auto"/>
            </w:tcBorders>
            <w:shd w:val="clear" w:color="auto" w:fill="auto"/>
            <w:noWrap/>
            <w:vAlign w:val="center"/>
            <w:hideMark/>
          </w:tcPr>
          <w:p w14:paraId="60F074E4" w14:textId="77777777" w:rsidR="00CF4273" w:rsidRPr="00FC346C" w:rsidRDefault="00CF4273" w:rsidP="00352DD7">
            <w:pPr>
              <w:spacing w:after="0" w:line="360" w:lineRule="auto"/>
              <w:contextualSpacing/>
              <w:jc w:val="center"/>
              <w:rPr>
                <w:rFonts w:ascii="Times New Roman" w:eastAsia="Times New Roman" w:hAnsi="Times New Roman" w:cs="Times New Roman"/>
                <w:b/>
                <w:color w:val="000000"/>
                <w:sz w:val="23"/>
                <w:szCs w:val="23"/>
                <w:lang w:eastAsia="en-IN"/>
              </w:rPr>
            </w:pPr>
            <w:r w:rsidRPr="00FC346C">
              <w:rPr>
                <w:rFonts w:ascii="Times New Roman" w:eastAsia="Times New Roman" w:hAnsi="Times New Roman" w:cs="Times New Roman"/>
                <w:b/>
                <w:color w:val="000000"/>
                <w:sz w:val="23"/>
                <w:szCs w:val="23"/>
                <w:lang w:eastAsia="en-IN"/>
              </w:rPr>
              <w:t>13.33%</w:t>
            </w:r>
          </w:p>
        </w:tc>
      </w:tr>
    </w:tbl>
    <w:p w14:paraId="34BA64DB" w14:textId="77777777" w:rsidR="008D3EF3" w:rsidRPr="00FC346C" w:rsidRDefault="008D3EF3" w:rsidP="00352DD7">
      <w:pPr>
        <w:pStyle w:val="Default"/>
        <w:spacing w:line="360" w:lineRule="auto"/>
        <w:ind w:left="284"/>
        <w:jc w:val="both"/>
        <w:rPr>
          <w:rFonts w:ascii="Times New Roman" w:hAnsi="Times New Roman" w:cs="Times New Roman"/>
          <w:sz w:val="23"/>
          <w:szCs w:val="23"/>
        </w:rPr>
      </w:pPr>
    </w:p>
    <w:p w14:paraId="23D2503F" w14:textId="425C7449" w:rsidR="00CF4273" w:rsidRPr="00FC346C" w:rsidRDefault="00CF4273" w:rsidP="00352DD7">
      <w:pPr>
        <w:pStyle w:val="Default"/>
        <w:spacing w:line="360" w:lineRule="auto"/>
        <w:ind w:left="284"/>
        <w:jc w:val="both"/>
        <w:rPr>
          <w:rFonts w:ascii="Times New Roman" w:hAnsi="Times New Roman" w:cs="Times New Roman"/>
          <w:sz w:val="23"/>
          <w:szCs w:val="23"/>
        </w:rPr>
      </w:pPr>
      <w:r w:rsidRPr="00FC346C">
        <w:rPr>
          <w:rFonts w:ascii="Times New Roman" w:hAnsi="Times New Roman" w:cs="Times New Roman"/>
          <w:sz w:val="23"/>
          <w:szCs w:val="23"/>
        </w:rPr>
        <w:t>It can be inferred from the table that the expected return while considering BSE Power Index for the latest 5 financial years (</w:t>
      </w:r>
      <w:r w:rsidR="008D3EF3" w:rsidRPr="00FC346C">
        <w:rPr>
          <w:rFonts w:ascii="Times New Roman" w:hAnsi="Times New Roman" w:cs="Times New Roman"/>
          <w:sz w:val="23"/>
          <w:szCs w:val="23"/>
        </w:rPr>
        <w:t>FY 2019-20 to FY 2023-24</w:t>
      </w:r>
      <w:r w:rsidRPr="00FC346C">
        <w:rPr>
          <w:rFonts w:ascii="Times New Roman" w:hAnsi="Times New Roman" w:cs="Times New Roman"/>
          <w:sz w:val="23"/>
          <w:szCs w:val="23"/>
        </w:rPr>
        <w:t xml:space="preserve">) is less than the value mentioned by </w:t>
      </w:r>
      <w:r w:rsidR="00C93BD5" w:rsidRPr="00FC346C">
        <w:rPr>
          <w:rFonts w:ascii="Times New Roman" w:hAnsi="Times New Roman" w:cs="Times New Roman"/>
          <w:sz w:val="23"/>
          <w:szCs w:val="23"/>
        </w:rPr>
        <w:t>this Hon’ble Commission</w:t>
      </w:r>
      <w:r w:rsidRPr="00FC346C">
        <w:rPr>
          <w:rFonts w:ascii="Times New Roman" w:hAnsi="Times New Roman" w:cs="Times New Roman"/>
          <w:sz w:val="23"/>
          <w:szCs w:val="23"/>
        </w:rPr>
        <w:t xml:space="preserve"> in its EM (15.5%).</w:t>
      </w:r>
    </w:p>
    <w:p w14:paraId="5C9B87C2" w14:textId="77777777" w:rsidR="008D3EF3" w:rsidRPr="00FC346C" w:rsidRDefault="008D3EF3" w:rsidP="00352DD7">
      <w:pPr>
        <w:tabs>
          <w:tab w:val="left" w:pos="1276"/>
        </w:tabs>
        <w:spacing w:after="0" w:line="360" w:lineRule="auto"/>
        <w:jc w:val="both"/>
        <w:rPr>
          <w:rFonts w:ascii="Times New Roman" w:hAnsi="Times New Roman" w:cs="Times New Roman"/>
          <w:b/>
          <w:i/>
          <w:sz w:val="23"/>
          <w:szCs w:val="23"/>
          <w:u w:val="single"/>
        </w:rPr>
      </w:pPr>
    </w:p>
    <w:p w14:paraId="565D4EBC" w14:textId="6DBBE70B" w:rsidR="00CF4273" w:rsidRPr="00FC346C" w:rsidRDefault="00CF4273" w:rsidP="00352DD7">
      <w:pPr>
        <w:tabs>
          <w:tab w:val="left" w:pos="1276"/>
        </w:tabs>
        <w:spacing w:after="0" w:line="360" w:lineRule="auto"/>
        <w:jc w:val="both"/>
        <w:rPr>
          <w:rFonts w:ascii="Times New Roman" w:hAnsi="Times New Roman" w:cs="Times New Roman"/>
          <w:b/>
          <w:iCs/>
          <w:sz w:val="23"/>
          <w:szCs w:val="23"/>
        </w:rPr>
      </w:pPr>
      <w:r w:rsidRPr="00FC346C">
        <w:rPr>
          <w:rFonts w:ascii="Times New Roman" w:hAnsi="Times New Roman" w:cs="Times New Roman"/>
          <w:b/>
          <w:iCs/>
          <w:sz w:val="23"/>
          <w:szCs w:val="23"/>
        </w:rPr>
        <w:t>Scenario – III</w:t>
      </w:r>
    </w:p>
    <w:p w14:paraId="54A277EF" w14:textId="77777777" w:rsidR="00CF4273" w:rsidRPr="00FC346C" w:rsidRDefault="00CF4273" w:rsidP="00352DD7">
      <w:pPr>
        <w:pStyle w:val="Default"/>
        <w:spacing w:line="360" w:lineRule="auto"/>
        <w:ind w:left="284"/>
        <w:jc w:val="both"/>
        <w:rPr>
          <w:rFonts w:ascii="Times New Roman" w:hAnsi="Times New Roman" w:cs="Times New Roman"/>
          <w:sz w:val="23"/>
          <w:szCs w:val="23"/>
        </w:rPr>
      </w:pPr>
      <w:r w:rsidRPr="00FC346C">
        <w:rPr>
          <w:rFonts w:ascii="Times New Roman" w:hAnsi="Times New Roman" w:cs="Times New Roman"/>
          <w:sz w:val="23"/>
          <w:szCs w:val="23"/>
        </w:rPr>
        <w:t>Risk Free Rate considered – 7.35%</w:t>
      </w:r>
    </w:p>
    <w:p w14:paraId="77DFEC67" w14:textId="77777777" w:rsidR="00CF4273" w:rsidRPr="00FC346C" w:rsidRDefault="00CF4273" w:rsidP="00352DD7">
      <w:pPr>
        <w:pStyle w:val="Default"/>
        <w:spacing w:line="360" w:lineRule="auto"/>
        <w:ind w:left="284"/>
        <w:jc w:val="both"/>
        <w:rPr>
          <w:rFonts w:ascii="Times New Roman" w:hAnsi="Times New Roman" w:cs="Times New Roman"/>
          <w:sz w:val="23"/>
          <w:szCs w:val="23"/>
        </w:rPr>
      </w:pPr>
      <w:r w:rsidRPr="00FC346C">
        <w:rPr>
          <w:rFonts w:ascii="Times New Roman" w:hAnsi="Times New Roman" w:cs="Times New Roman"/>
          <w:sz w:val="23"/>
          <w:szCs w:val="23"/>
        </w:rPr>
        <w:t>Risk Premium considered (CAGR latest 10 financial years of the BSE Sensex) – 13.49%</w:t>
      </w:r>
    </w:p>
    <w:p w14:paraId="647D30CA" w14:textId="77777777" w:rsidR="00CF4273" w:rsidRPr="00FC346C" w:rsidRDefault="00CF4273" w:rsidP="00352DD7">
      <w:pPr>
        <w:pStyle w:val="Default"/>
        <w:spacing w:line="360" w:lineRule="auto"/>
        <w:ind w:left="284"/>
        <w:jc w:val="both"/>
        <w:rPr>
          <w:rFonts w:ascii="Times New Roman" w:hAnsi="Times New Roman" w:cs="Times New Roman"/>
          <w:sz w:val="23"/>
          <w:szCs w:val="23"/>
        </w:rPr>
      </w:pPr>
      <w:r w:rsidRPr="00FC346C">
        <w:rPr>
          <w:rFonts w:ascii="Times New Roman" w:hAnsi="Times New Roman" w:cs="Times New Roman"/>
          <w:sz w:val="23"/>
          <w:szCs w:val="23"/>
        </w:rPr>
        <w:t xml:space="preserve">Beta – </w:t>
      </w:r>
    </w:p>
    <w:p w14:paraId="31C59B83" w14:textId="0C8942B8" w:rsidR="00CF4273" w:rsidRPr="00FC346C" w:rsidRDefault="00CF4273" w:rsidP="00352DD7">
      <w:pPr>
        <w:pStyle w:val="Default"/>
        <w:spacing w:line="360" w:lineRule="auto"/>
        <w:ind w:left="284"/>
        <w:jc w:val="both"/>
        <w:rPr>
          <w:rFonts w:ascii="Times New Roman" w:hAnsi="Times New Roman" w:cs="Times New Roman"/>
          <w:sz w:val="23"/>
          <w:szCs w:val="23"/>
        </w:rPr>
      </w:pPr>
      <w:r w:rsidRPr="00FC346C">
        <w:rPr>
          <w:rFonts w:ascii="Times New Roman" w:hAnsi="Times New Roman" w:cs="Times New Roman"/>
          <w:sz w:val="23"/>
          <w:szCs w:val="23"/>
        </w:rPr>
        <w:t>To compute the beta, the BSE Power Index was considered for the period FY 2014</w:t>
      </w:r>
      <w:r w:rsidR="008D3EF3" w:rsidRPr="00FC346C">
        <w:rPr>
          <w:rFonts w:ascii="Times New Roman" w:hAnsi="Times New Roman" w:cs="Times New Roman"/>
          <w:sz w:val="23"/>
          <w:szCs w:val="23"/>
        </w:rPr>
        <w:t>-15</w:t>
      </w:r>
      <w:r w:rsidRPr="00FC346C">
        <w:rPr>
          <w:rFonts w:ascii="Times New Roman" w:hAnsi="Times New Roman" w:cs="Times New Roman"/>
          <w:sz w:val="23"/>
          <w:szCs w:val="23"/>
        </w:rPr>
        <w:t xml:space="preserve"> – FY 2023</w:t>
      </w:r>
      <w:r w:rsidR="008D3EF3" w:rsidRPr="00FC346C">
        <w:rPr>
          <w:rFonts w:ascii="Times New Roman" w:hAnsi="Times New Roman" w:cs="Times New Roman"/>
          <w:sz w:val="23"/>
          <w:szCs w:val="23"/>
        </w:rPr>
        <w:t>-24</w:t>
      </w:r>
      <w:r w:rsidRPr="00FC346C">
        <w:rPr>
          <w:rFonts w:ascii="Times New Roman" w:hAnsi="Times New Roman" w:cs="Times New Roman"/>
          <w:sz w:val="23"/>
          <w:szCs w:val="23"/>
        </w:rPr>
        <w:t>.</w:t>
      </w:r>
    </w:p>
    <w:p w14:paraId="04EBBA2C" w14:textId="7393F690" w:rsidR="00CF4273" w:rsidRPr="00FC346C" w:rsidRDefault="00CF4273" w:rsidP="00352DD7">
      <w:pPr>
        <w:pStyle w:val="Default"/>
        <w:spacing w:line="360" w:lineRule="auto"/>
        <w:ind w:left="284"/>
        <w:jc w:val="both"/>
        <w:rPr>
          <w:rFonts w:ascii="Times New Roman" w:hAnsi="Times New Roman" w:cs="Times New Roman"/>
          <w:sz w:val="23"/>
          <w:szCs w:val="23"/>
        </w:rPr>
      </w:pPr>
      <w:r w:rsidRPr="00FC346C">
        <w:rPr>
          <w:rFonts w:ascii="Times New Roman" w:hAnsi="Times New Roman" w:cs="Times New Roman"/>
          <w:sz w:val="23"/>
          <w:szCs w:val="23"/>
        </w:rPr>
        <w:t>The expected returns calculated is mentioned in the table below</w:t>
      </w:r>
      <w:r w:rsidR="008D3EF3" w:rsidRPr="00FC346C">
        <w:rPr>
          <w:rFonts w:ascii="Times New Roman" w:hAnsi="Times New Roman" w:cs="Times New Roman"/>
          <w:sz w:val="23"/>
          <w:szCs w:val="23"/>
        </w:rPr>
        <w:t>:</w:t>
      </w:r>
    </w:p>
    <w:p w14:paraId="6251EBB2" w14:textId="77777777" w:rsidR="00CF4273" w:rsidRPr="00FC346C" w:rsidRDefault="00CF4273" w:rsidP="00352DD7">
      <w:pPr>
        <w:pStyle w:val="Default"/>
        <w:spacing w:line="360" w:lineRule="auto"/>
        <w:ind w:left="284"/>
        <w:jc w:val="both"/>
        <w:rPr>
          <w:rFonts w:ascii="Times New Roman" w:hAnsi="Times New Roman" w:cs="Times New Roman"/>
          <w:sz w:val="23"/>
          <w:szCs w:val="23"/>
        </w:rPr>
      </w:pPr>
    </w:p>
    <w:tbl>
      <w:tblPr>
        <w:tblW w:w="2705" w:type="dxa"/>
        <w:jc w:val="center"/>
        <w:tblLook w:val="04A0" w:firstRow="1" w:lastRow="0" w:firstColumn="1" w:lastColumn="0" w:noHBand="0" w:noVBand="1"/>
      </w:tblPr>
      <w:tblGrid>
        <w:gridCol w:w="1363"/>
        <w:gridCol w:w="1342"/>
      </w:tblGrid>
      <w:tr w:rsidR="00CF4273" w:rsidRPr="00FC346C" w14:paraId="39B04582" w14:textId="77777777" w:rsidTr="00C01E39">
        <w:trPr>
          <w:trHeight w:val="290"/>
          <w:tblHeader/>
          <w:jc w:val="center"/>
        </w:trPr>
        <w:tc>
          <w:tcPr>
            <w:tcW w:w="1363"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BCBF0F7" w14:textId="77777777" w:rsidR="00CF4273" w:rsidRPr="00FC346C" w:rsidRDefault="00CF4273" w:rsidP="00352DD7">
            <w:pPr>
              <w:spacing w:after="0" w:line="360" w:lineRule="auto"/>
              <w:contextualSpacing/>
              <w:jc w:val="center"/>
              <w:rPr>
                <w:rFonts w:ascii="Times New Roman" w:eastAsia="Times New Roman" w:hAnsi="Times New Roman" w:cs="Times New Roman"/>
                <w:b/>
                <w:bCs/>
                <w:sz w:val="23"/>
                <w:szCs w:val="23"/>
                <w:lang w:eastAsia="en-IN"/>
              </w:rPr>
            </w:pPr>
            <w:r w:rsidRPr="00FC346C">
              <w:rPr>
                <w:rFonts w:ascii="Times New Roman" w:eastAsia="Times New Roman" w:hAnsi="Times New Roman" w:cs="Times New Roman"/>
                <w:b/>
                <w:bCs/>
                <w:sz w:val="23"/>
                <w:szCs w:val="23"/>
                <w:lang w:eastAsia="en-IN"/>
              </w:rPr>
              <w:t>Particulars</w:t>
            </w:r>
          </w:p>
        </w:tc>
        <w:tc>
          <w:tcPr>
            <w:tcW w:w="1342"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59E823BF" w14:textId="77777777" w:rsidR="00CF4273" w:rsidRPr="00FC346C" w:rsidRDefault="00CF4273" w:rsidP="00352DD7">
            <w:pPr>
              <w:spacing w:after="0" w:line="360" w:lineRule="auto"/>
              <w:contextualSpacing/>
              <w:jc w:val="center"/>
              <w:rPr>
                <w:rFonts w:ascii="Times New Roman" w:eastAsia="Times New Roman" w:hAnsi="Times New Roman" w:cs="Times New Roman"/>
                <w:b/>
                <w:bCs/>
                <w:sz w:val="23"/>
                <w:szCs w:val="23"/>
                <w:lang w:eastAsia="en-IN"/>
              </w:rPr>
            </w:pPr>
            <w:r w:rsidRPr="00FC346C">
              <w:rPr>
                <w:rFonts w:ascii="Times New Roman" w:eastAsia="Times New Roman" w:hAnsi="Times New Roman" w:cs="Times New Roman"/>
                <w:b/>
                <w:bCs/>
                <w:sz w:val="23"/>
                <w:szCs w:val="23"/>
                <w:lang w:eastAsia="en-IN"/>
              </w:rPr>
              <w:t>BSE Power</w:t>
            </w:r>
          </w:p>
        </w:tc>
      </w:tr>
      <w:tr w:rsidR="00CF4273" w:rsidRPr="00FC346C" w14:paraId="3CC27652" w14:textId="77777777" w:rsidTr="008D3EF3">
        <w:trPr>
          <w:trHeight w:val="290"/>
          <w:jc w:val="center"/>
        </w:trPr>
        <w:tc>
          <w:tcPr>
            <w:tcW w:w="1363" w:type="dxa"/>
            <w:tcBorders>
              <w:top w:val="nil"/>
              <w:left w:val="single" w:sz="4" w:space="0" w:color="auto"/>
              <w:bottom w:val="single" w:sz="4" w:space="0" w:color="auto"/>
              <w:right w:val="single" w:sz="4" w:space="0" w:color="auto"/>
            </w:tcBorders>
            <w:shd w:val="clear" w:color="auto" w:fill="auto"/>
            <w:noWrap/>
            <w:vAlign w:val="center"/>
            <w:hideMark/>
          </w:tcPr>
          <w:p w14:paraId="3A674E04" w14:textId="77777777" w:rsidR="00CF4273" w:rsidRPr="00FC346C" w:rsidRDefault="00CF4273" w:rsidP="00352DD7">
            <w:pPr>
              <w:spacing w:after="0" w:line="360" w:lineRule="auto"/>
              <w:contextualSpacing/>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Covariance</w:t>
            </w:r>
          </w:p>
        </w:tc>
        <w:tc>
          <w:tcPr>
            <w:tcW w:w="1342" w:type="dxa"/>
            <w:tcBorders>
              <w:top w:val="nil"/>
              <w:left w:val="nil"/>
              <w:bottom w:val="single" w:sz="4" w:space="0" w:color="auto"/>
              <w:right w:val="single" w:sz="4" w:space="0" w:color="auto"/>
            </w:tcBorders>
            <w:shd w:val="clear" w:color="auto" w:fill="auto"/>
            <w:noWrap/>
            <w:vAlign w:val="center"/>
            <w:hideMark/>
          </w:tcPr>
          <w:p w14:paraId="2828B55D" w14:textId="77777777" w:rsidR="00CF4273" w:rsidRPr="00FC346C" w:rsidRDefault="00CF4273" w:rsidP="00352DD7">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0.000098</w:t>
            </w:r>
          </w:p>
        </w:tc>
      </w:tr>
      <w:tr w:rsidR="00CF4273" w:rsidRPr="00FC346C" w14:paraId="465E09C6" w14:textId="77777777" w:rsidTr="008D3EF3">
        <w:trPr>
          <w:trHeight w:val="290"/>
          <w:jc w:val="center"/>
        </w:trPr>
        <w:tc>
          <w:tcPr>
            <w:tcW w:w="1363" w:type="dxa"/>
            <w:tcBorders>
              <w:top w:val="nil"/>
              <w:left w:val="single" w:sz="4" w:space="0" w:color="auto"/>
              <w:bottom w:val="single" w:sz="4" w:space="0" w:color="auto"/>
              <w:right w:val="single" w:sz="4" w:space="0" w:color="auto"/>
            </w:tcBorders>
            <w:shd w:val="clear" w:color="auto" w:fill="auto"/>
            <w:noWrap/>
            <w:vAlign w:val="center"/>
            <w:hideMark/>
          </w:tcPr>
          <w:p w14:paraId="0B41F0D9" w14:textId="77777777" w:rsidR="00CF4273" w:rsidRPr="00FC346C" w:rsidRDefault="00CF4273" w:rsidP="00352DD7">
            <w:pPr>
              <w:spacing w:after="0" w:line="360" w:lineRule="auto"/>
              <w:contextualSpacing/>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Variance</w:t>
            </w:r>
          </w:p>
        </w:tc>
        <w:tc>
          <w:tcPr>
            <w:tcW w:w="1342" w:type="dxa"/>
            <w:tcBorders>
              <w:top w:val="nil"/>
              <w:left w:val="nil"/>
              <w:bottom w:val="single" w:sz="4" w:space="0" w:color="auto"/>
              <w:right w:val="single" w:sz="4" w:space="0" w:color="auto"/>
            </w:tcBorders>
            <w:shd w:val="clear" w:color="auto" w:fill="auto"/>
            <w:noWrap/>
            <w:vAlign w:val="center"/>
            <w:hideMark/>
          </w:tcPr>
          <w:p w14:paraId="7BC16C20" w14:textId="77777777" w:rsidR="00CF4273" w:rsidRPr="00FC346C" w:rsidRDefault="00CF4273" w:rsidP="00352DD7">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0.00012</w:t>
            </w:r>
          </w:p>
        </w:tc>
      </w:tr>
      <w:tr w:rsidR="00CF4273" w:rsidRPr="00FC346C" w14:paraId="53E391E7" w14:textId="77777777" w:rsidTr="008D3EF3">
        <w:trPr>
          <w:trHeight w:val="290"/>
          <w:jc w:val="center"/>
        </w:trPr>
        <w:tc>
          <w:tcPr>
            <w:tcW w:w="1363" w:type="dxa"/>
            <w:tcBorders>
              <w:top w:val="nil"/>
              <w:left w:val="single" w:sz="4" w:space="0" w:color="auto"/>
              <w:bottom w:val="single" w:sz="4" w:space="0" w:color="auto"/>
              <w:right w:val="single" w:sz="4" w:space="0" w:color="auto"/>
            </w:tcBorders>
            <w:shd w:val="clear" w:color="auto" w:fill="auto"/>
            <w:noWrap/>
            <w:vAlign w:val="center"/>
            <w:hideMark/>
          </w:tcPr>
          <w:p w14:paraId="20A9DE67" w14:textId="77777777" w:rsidR="00CF4273" w:rsidRPr="00FC346C" w:rsidRDefault="00CF4273" w:rsidP="00352DD7">
            <w:pPr>
              <w:spacing w:after="0" w:line="360" w:lineRule="auto"/>
              <w:contextualSpacing/>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Beta</w:t>
            </w:r>
          </w:p>
        </w:tc>
        <w:tc>
          <w:tcPr>
            <w:tcW w:w="1342" w:type="dxa"/>
            <w:tcBorders>
              <w:top w:val="nil"/>
              <w:left w:val="nil"/>
              <w:bottom w:val="single" w:sz="4" w:space="0" w:color="auto"/>
              <w:right w:val="single" w:sz="4" w:space="0" w:color="auto"/>
            </w:tcBorders>
            <w:shd w:val="clear" w:color="auto" w:fill="auto"/>
            <w:noWrap/>
            <w:vAlign w:val="center"/>
            <w:hideMark/>
          </w:tcPr>
          <w:p w14:paraId="2FC5D75B" w14:textId="77777777" w:rsidR="00CF4273" w:rsidRPr="00FC346C" w:rsidRDefault="00CF4273" w:rsidP="00352DD7">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0.8349</w:t>
            </w:r>
          </w:p>
        </w:tc>
      </w:tr>
      <w:tr w:rsidR="00CF4273" w:rsidRPr="00FC346C" w14:paraId="3B03D2DF" w14:textId="77777777" w:rsidTr="008D3EF3">
        <w:trPr>
          <w:trHeight w:val="290"/>
          <w:jc w:val="center"/>
        </w:trPr>
        <w:tc>
          <w:tcPr>
            <w:tcW w:w="1363" w:type="dxa"/>
            <w:tcBorders>
              <w:top w:val="nil"/>
              <w:left w:val="single" w:sz="4" w:space="0" w:color="auto"/>
              <w:bottom w:val="single" w:sz="4" w:space="0" w:color="auto"/>
              <w:right w:val="single" w:sz="4" w:space="0" w:color="auto"/>
            </w:tcBorders>
            <w:shd w:val="clear" w:color="auto" w:fill="auto"/>
            <w:noWrap/>
            <w:vAlign w:val="center"/>
            <w:hideMark/>
          </w:tcPr>
          <w:p w14:paraId="5C612E92" w14:textId="77777777" w:rsidR="00CF4273" w:rsidRPr="00FC346C" w:rsidRDefault="00CF4273" w:rsidP="00352DD7">
            <w:pPr>
              <w:spacing w:after="0" w:line="360" w:lineRule="auto"/>
              <w:contextualSpacing/>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Rf</w:t>
            </w:r>
          </w:p>
        </w:tc>
        <w:tc>
          <w:tcPr>
            <w:tcW w:w="1342" w:type="dxa"/>
            <w:tcBorders>
              <w:top w:val="nil"/>
              <w:left w:val="nil"/>
              <w:bottom w:val="single" w:sz="4" w:space="0" w:color="auto"/>
              <w:right w:val="single" w:sz="4" w:space="0" w:color="auto"/>
            </w:tcBorders>
            <w:shd w:val="clear" w:color="auto" w:fill="auto"/>
            <w:noWrap/>
            <w:vAlign w:val="center"/>
            <w:hideMark/>
          </w:tcPr>
          <w:p w14:paraId="17448736" w14:textId="77777777" w:rsidR="00CF4273" w:rsidRPr="00FC346C" w:rsidRDefault="00CF4273" w:rsidP="00352DD7">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7.35%</w:t>
            </w:r>
          </w:p>
        </w:tc>
      </w:tr>
      <w:tr w:rsidR="00CF4273" w:rsidRPr="00FC346C" w14:paraId="0479B15B" w14:textId="77777777" w:rsidTr="008D3EF3">
        <w:trPr>
          <w:trHeight w:val="290"/>
          <w:jc w:val="center"/>
        </w:trPr>
        <w:tc>
          <w:tcPr>
            <w:tcW w:w="1363" w:type="dxa"/>
            <w:tcBorders>
              <w:top w:val="nil"/>
              <w:left w:val="single" w:sz="4" w:space="0" w:color="auto"/>
              <w:bottom w:val="single" w:sz="4" w:space="0" w:color="auto"/>
              <w:right w:val="single" w:sz="4" w:space="0" w:color="auto"/>
            </w:tcBorders>
            <w:shd w:val="clear" w:color="auto" w:fill="auto"/>
            <w:noWrap/>
            <w:vAlign w:val="center"/>
            <w:hideMark/>
          </w:tcPr>
          <w:p w14:paraId="1CBD8DF4" w14:textId="77777777" w:rsidR="00CF4273" w:rsidRPr="00FC346C" w:rsidRDefault="00CF4273" w:rsidP="00352DD7">
            <w:pPr>
              <w:spacing w:after="0" w:line="360" w:lineRule="auto"/>
              <w:contextualSpacing/>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Rm</w:t>
            </w:r>
          </w:p>
        </w:tc>
        <w:tc>
          <w:tcPr>
            <w:tcW w:w="1342" w:type="dxa"/>
            <w:tcBorders>
              <w:top w:val="nil"/>
              <w:left w:val="nil"/>
              <w:bottom w:val="single" w:sz="4" w:space="0" w:color="auto"/>
              <w:right w:val="single" w:sz="4" w:space="0" w:color="auto"/>
            </w:tcBorders>
            <w:shd w:val="clear" w:color="auto" w:fill="auto"/>
            <w:noWrap/>
            <w:vAlign w:val="center"/>
            <w:hideMark/>
          </w:tcPr>
          <w:p w14:paraId="2EFB946C" w14:textId="77777777" w:rsidR="00CF4273" w:rsidRPr="00FC346C" w:rsidRDefault="00CF4273" w:rsidP="00352DD7">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13.49%</w:t>
            </w:r>
          </w:p>
        </w:tc>
      </w:tr>
      <w:tr w:rsidR="00CF4273" w:rsidRPr="00FC346C" w14:paraId="3B2229F3" w14:textId="77777777" w:rsidTr="008D3EF3">
        <w:trPr>
          <w:trHeight w:val="290"/>
          <w:jc w:val="center"/>
        </w:trPr>
        <w:tc>
          <w:tcPr>
            <w:tcW w:w="1363" w:type="dxa"/>
            <w:tcBorders>
              <w:top w:val="nil"/>
              <w:left w:val="single" w:sz="4" w:space="0" w:color="auto"/>
              <w:bottom w:val="single" w:sz="4" w:space="0" w:color="auto"/>
              <w:right w:val="single" w:sz="4" w:space="0" w:color="auto"/>
            </w:tcBorders>
            <w:shd w:val="clear" w:color="auto" w:fill="auto"/>
            <w:noWrap/>
            <w:vAlign w:val="center"/>
            <w:hideMark/>
          </w:tcPr>
          <w:p w14:paraId="4B95936D" w14:textId="77777777" w:rsidR="00CF4273" w:rsidRPr="00FC346C" w:rsidRDefault="00CF4273" w:rsidP="00352DD7">
            <w:pPr>
              <w:spacing w:after="0" w:line="360" w:lineRule="auto"/>
              <w:contextualSpacing/>
              <w:jc w:val="center"/>
              <w:rPr>
                <w:rFonts w:ascii="Times New Roman" w:eastAsia="Times New Roman" w:hAnsi="Times New Roman" w:cs="Times New Roman"/>
                <w:b/>
                <w:color w:val="000000"/>
                <w:sz w:val="23"/>
                <w:szCs w:val="23"/>
                <w:lang w:eastAsia="en-IN"/>
              </w:rPr>
            </w:pPr>
            <w:r w:rsidRPr="00FC346C">
              <w:rPr>
                <w:rFonts w:ascii="Times New Roman" w:eastAsia="Times New Roman" w:hAnsi="Times New Roman" w:cs="Times New Roman"/>
                <w:b/>
                <w:color w:val="000000"/>
                <w:sz w:val="23"/>
                <w:szCs w:val="23"/>
                <w:lang w:eastAsia="en-IN"/>
              </w:rPr>
              <w:t>Re</w:t>
            </w:r>
          </w:p>
        </w:tc>
        <w:tc>
          <w:tcPr>
            <w:tcW w:w="1342" w:type="dxa"/>
            <w:tcBorders>
              <w:top w:val="nil"/>
              <w:left w:val="nil"/>
              <w:bottom w:val="single" w:sz="4" w:space="0" w:color="auto"/>
              <w:right w:val="single" w:sz="4" w:space="0" w:color="auto"/>
            </w:tcBorders>
            <w:shd w:val="clear" w:color="auto" w:fill="auto"/>
            <w:noWrap/>
            <w:vAlign w:val="center"/>
            <w:hideMark/>
          </w:tcPr>
          <w:p w14:paraId="44458C3F" w14:textId="77777777" w:rsidR="00CF4273" w:rsidRPr="00FC346C" w:rsidRDefault="00CF4273" w:rsidP="00352DD7">
            <w:pPr>
              <w:spacing w:after="0" w:line="360" w:lineRule="auto"/>
              <w:contextualSpacing/>
              <w:jc w:val="center"/>
              <w:rPr>
                <w:rFonts w:ascii="Times New Roman" w:eastAsia="Times New Roman" w:hAnsi="Times New Roman" w:cs="Times New Roman"/>
                <w:b/>
                <w:color w:val="000000"/>
                <w:sz w:val="23"/>
                <w:szCs w:val="23"/>
                <w:lang w:eastAsia="en-IN"/>
              </w:rPr>
            </w:pPr>
            <w:r w:rsidRPr="00FC346C">
              <w:rPr>
                <w:rFonts w:ascii="Times New Roman" w:eastAsia="Times New Roman" w:hAnsi="Times New Roman" w:cs="Times New Roman"/>
                <w:b/>
                <w:color w:val="000000"/>
                <w:sz w:val="23"/>
                <w:szCs w:val="23"/>
                <w:lang w:eastAsia="en-IN"/>
              </w:rPr>
              <w:t>12.47%</w:t>
            </w:r>
          </w:p>
        </w:tc>
      </w:tr>
    </w:tbl>
    <w:p w14:paraId="75B2786D" w14:textId="77777777" w:rsidR="008D3EF3" w:rsidRPr="00FC346C" w:rsidRDefault="008D3EF3" w:rsidP="00352DD7">
      <w:pPr>
        <w:pStyle w:val="Default"/>
        <w:spacing w:line="360" w:lineRule="auto"/>
        <w:ind w:left="284"/>
        <w:jc w:val="both"/>
        <w:rPr>
          <w:rFonts w:ascii="Times New Roman" w:hAnsi="Times New Roman" w:cs="Times New Roman"/>
          <w:sz w:val="23"/>
          <w:szCs w:val="23"/>
        </w:rPr>
      </w:pPr>
    </w:p>
    <w:p w14:paraId="28B019AF" w14:textId="5F986DA0" w:rsidR="00CF4273" w:rsidRPr="00FC346C" w:rsidRDefault="00CF4273" w:rsidP="00352DD7">
      <w:pPr>
        <w:pStyle w:val="Default"/>
        <w:spacing w:line="360" w:lineRule="auto"/>
        <w:ind w:left="284"/>
        <w:jc w:val="both"/>
        <w:rPr>
          <w:rFonts w:ascii="Times New Roman" w:hAnsi="Times New Roman" w:cs="Times New Roman"/>
          <w:sz w:val="23"/>
          <w:szCs w:val="23"/>
        </w:rPr>
      </w:pPr>
      <w:r w:rsidRPr="00FC346C">
        <w:rPr>
          <w:rFonts w:ascii="Times New Roman" w:hAnsi="Times New Roman" w:cs="Times New Roman"/>
          <w:sz w:val="23"/>
          <w:szCs w:val="23"/>
        </w:rPr>
        <w:t>The expected return of the market is 12.47%.</w:t>
      </w:r>
    </w:p>
    <w:p w14:paraId="1DE881D5" w14:textId="77777777" w:rsidR="008D3EF3" w:rsidRPr="00FC346C" w:rsidRDefault="008D3EF3" w:rsidP="00352DD7">
      <w:pPr>
        <w:pStyle w:val="Default"/>
        <w:spacing w:line="360" w:lineRule="auto"/>
        <w:ind w:left="284"/>
        <w:jc w:val="both"/>
        <w:rPr>
          <w:rFonts w:ascii="Times New Roman" w:hAnsi="Times New Roman" w:cs="Times New Roman"/>
          <w:b/>
          <w:i/>
          <w:sz w:val="23"/>
          <w:szCs w:val="23"/>
          <w:u w:val="single"/>
        </w:rPr>
      </w:pPr>
    </w:p>
    <w:p w14:paraId="06D61037" w14:textId="05B578D0" w:rsidR="00CF4273" w:rsidRPr="00FC346C" w:rsidRDefault="00CF4273" w:rsidP="00352DD7">
      <w:pPr>
        <w:pStyle w:val="Default"/>
        <w:spacing w:line="360" w:lineRule="auto"/>
        <w:ind w:left="284"/>
        <w:jc w:val="both"/>
        <w:rPr>
          <w:rFonts w:ascii="Times New Roman" w:hAnsi="Times New Roman" w:cs="Times New Roman"/>
          <w:iCs/>
          <w:sz w:val="23"/>
          <w:szCs w:val="23"/>
        </w:rPr>
      </w:pPr>
      <w:r w:rsidRPr="00FC346C">
        <w:rPr>
          <w:rFonts w:ascii="Times New Roman" w:hAnsi="Times New Roman" w:cs="Times New Roman"/>
          <w:b/>
          <w:iCs/>
          <w:sz w:val="23"/>
          <w:szCs w:val="23"/>
        </w:rPr>
        <w:t>Scenario – IV</w:t>
      </w:r>
    </w:p>
    <w:p w14:paraId="5D38C5F3" w14:textId="77777777" w:rsidR="00CF4273" w:rsidRPr="00FC346C" w:rsidRDefault="00CF4273" w:rsidP="00352DD7">
      <w:pPr>
        <w:pStyle w:val="Default"/>
        <w:spacing w:line="360" w:lineRule="auto"/>
        <w:ind w:left="284"/>
        <w:jc w:val="both"/>
        <w:rPr>
          <w:rFonts w:ascii="Times New Roman" w:hAnsi="Times New Roman" w:cs="Times New Roman"/>
          <w:sz w:val="23"/>
          <w:szCs w:val="23"/>
        </w:rPr>
      </w:pPr>
      <w:r w:rsidRPr="00FC346C">
        <w:rPr>
          <w:rFonts w:ascii="Times New Roman" w:hAnsi="Times New Roman" w:cs="Times New Roman"/>
          <w:sz w:val="23"/>
          <w:szCs w:val="23"/>
        </w:rPr>
        <w:t>Risk Free Rate considered – 7.35%</w:t>
      </w:r>
    </w:p>
    <w:p w14:paraId="660EEF6A" w14:textId="77777777" w:rsidR="00CF4273" w:rsidRPr="00FC346C" w:rsidRDefault="00CF4273" w:rsidP="00352DD7">
      <w:pPr>
        <w:pStyle w:val="Default"/>
        <w:spacing w:line="360" w:lineRule="auto"/>
        <w:ind w:left="284"/>
        <w:jc w:val="both"/>
        <w:rPr>
          <w:rFonts w:ascii="Times New Roman" w:hAnsi="Times New Roman" w:cs="Times New Roman"/>
          <w:sz w:val="23"/>
          <w:szCs w:val="23"/>
        </w:rPr>
      </w:pPr>
      <w:r w:rsidRPr="00FC346C">
        <w:rPr>
          <w:rFonts w:ascii="Times New Roman" w:hAnsi="Times New Roman" w:cs="Times New Roman"/>
          <w:sz w:val="23"/>
          <w:szCs w:val="23"/>
        </w:rPr>
        <w:t>Risk Premium considered (CAGR latest 15 financial years of the BSE Sensex) – 9.88%</w:t>
      </w:r>
    </w:p>
    <w:p w14:paraId="6603A42D" w14:textId="77777777" w:rsidR="00CF4273" w:rsidRPr="00FC346C" w:rsidRDefault="00CF4273" w:rsidP="00352DD7">
      <w:pPr>
        <w:pStyle w:val="Default"/>
        <w:spacing w:line="360" w:lineRule="auto"/>
        <w:ind w:left="284"/>
        <w:jc w:val="both"/>
        <w:rPr>
          <w:rFonts w:ascii="Times New Roman" w:hAnsi="Times New Roman" w:cs="Times New Roman"/>
          <w:sz w:val="23"/>
          <w:szCs w:val="23"/>
        </w:rPr>
      </w:pPr>
      <w:r w:rsidRPr="00FC346C">
        <w:rPr>
          <w:rFonts w:ascii="Times New Roman" w:hAnsi="Times New Roman" w:cs="Times New Roman"/>
          <w:sz w:val="23"/>
          <w:szCs w:val="23"/>
        </w:rPr>
        <w:t xml:space="preserve">Beta – </w:t>
      </w:r>
    </w:p>
    <w:p w14:paraId="34BE370D" w14:textId="24B56668" w:rsidR="00CF4273" w:rsidRPr="00FC346C" w:rsidRDefault="00CF4273" w:rsidP="00352DD7">
      <w:pPr>
        <w:pStyle w:val="Default"/>
        <w:spacing w:line="360" w:lineRule="auto"/>
        <w:ind w:left="284"/>
        <w:jc w:val="both"/>
        <w:rPr>
          <w:rFonts w:ascii="Times New Roman" w:hAnsi="Times New Roman" w:cs="Times New Roman"/>
          <w:sz w:val="23"/>
          <w:szCs w:val="23"/>
        </w:rPr>
      </w:pPr>
      <w:r w:rsidRPr="00FC346C">
        <w:rPr>
          <w:rFonts w:ascii="Times New Roman" w:hAnsi="Times New Roman" w:cs="Times New Roman"/>
          <w:sz w:val="23"/>
          <w:szCs w:val="23"/>
        </w:rPr>
        <w:t>To compute the beta, the BSE Power Index was considered for the period FY 2009</w:t>
      </w:r>
      <w:r w:rsidR="008D3EF3" w:rsidRPr="00FC346C">
        <w:rPr>
          <w:rFonts w:ascii="Times New Roman" w:hAnsi="Times New Roman" w:cs="Times New Roman"/>
          <w:sz w:val="23"/>
          <w:szCs w:val="23"/>
        </w:rPr>
        <w:t>-10</w:t>
      </w:r>
      <w:r w:rsidRPr="00FC346C">
        <w:rPr>
          <w:rFonts w:ascii="Times New Roman" w:hAnsi="Times New Roman" w:cs="Times New Roman"/>
          <w:sz w:val="23"/>
          <w:szCs w:val="23"/>
        </w:rPr>
        <w:t xml:space="preserve"> – FY 2023</w:t>
      </w:r>
      <w:r w:rsidR="008D3EF3" w:rsidRPr="00FC346C">
        <w:rPr>
          <w:rFonts w:ascii="Times New Roman" w:hAnsi="Times New Roman" w:cs="Times New Roman"/>
          <w:sz w:val="23"/>
          <w:szCs w:val="23"/>
        </w:rPr>
        <w:t>-24</w:t>
      </w:r>
      <w:r w:rsidRPr="00FC346C">
        <w:rPr>
          <w:rFonts w:ascii="Times New Roman" w:hAnsi="Times New Roman" w:cs="Times New Roman"/>
          <w:sz w:val="23"/>
          <w:szCs w:val="23"/>
        </w:rPr>
        <w:t>.</w:t>
      </w:r>
    </w:p>
    <w:p w14:paraId="0052CC5C" w14:textId="040A6152" w:rsidR="00CF4273" w:rsidRPr="00FC346C" w:rsidRDefault="00CF4273" w:rsidP="00352DD7">
      <w:pPr>
        <w:pStyle w:val="Default"/>
        <w:spacing w:line="360" w:lineRule="auto"/>
        <w:ind w:left="284"/>
        <w:jc w:val="both"/>
        <w:rPr>
          <w:rFonts w:ascii="Times New Roman" w:hAnsi="Times New Roman" w:cs="Times New Roman"/>
          <w:sz w:val="23"/>
          <w:szCs w:val="23"/>
        </w:rPr>
      </w:pPr>
      <w:r w:rsidRPr="00FC346C">
        <w:rPr>
          <w:rFonts w:ascii="Times New Roman" w:hAnsi="Times New Roman" w:cs="Times New Roman"/>
          <w:sz w:val="23"/>
          <w:szCs w:val="23"/>
        </w:rPr>
        <w:t>The expected returns calculated is mentioned in the table below</w:t>
      </w:r>
      <w:r w:rsidR="008D3EF3" w:rsidRPr="00FC346C">
        <w:rPr>
          <w:rFonts w:ascii="Times New Roman" w:hAnsi="Times New Roman" w:cs="Times New Roman"/>
          <w:sz w:val="23"/>
          <w:szCs w:val="23"/>
        </w:rPr>
        <w:t>:</w:t>
      </w:r>
    </w:p>
    <w:p w14:paraId="0376A8B6" w14:textId="77777777" w:rsidR="00CF4273" w:rsidRPr="00FC346C" w:rsidRDefault="00CF4273" w:rsidP="00352DD7">
      <w:pPr>
        <w:pStyle w:val="Default"/>
        <w:spacing w:line="360" w:lineRule="auto"/>
        <w:ind w:left="284"/>
        <w:jc w:val="both"/>
        <w:rPr>
          <w:rFonts w:ascii="Times New Roman" w:hAnsi="Times New Roman" w:cs="Times New Roman"/>
          <w:sz w:val="23"/>
          <w:szCs w:val="23"/>
        </w:rPr>
      </w:pPr>
    </w:p>
    <w:tbl>
      <w:tblPr>
        <w:tblW w:w="2547" w:type="dxa"/>
        <w:jc w:val="center"/>
        <w:tblLook w:val="04A0" w:firstRow="1" w:lastRow="0" w:firstColumn="1" w:lastColumn="0" w:noHBand="0" w:noVBand="1"/>
      </w:tblPr>
      <w:tblGrid>
        <w:gridCol w:w="1315"/>
        <w:gridCol w:w="1287"/>
      </w:tblGrid>
      <w:tr w:rsidR="00CF4273" w:rsidRPr="00FC346C" w14:paraId="1691602E" w14:textId="77777777" w:rsidTr="00C01E39">
        <w:trPr>
          <w:trHeight w:val="290"/>
          <w:tblHeader/>
          <w:jc w:val="center"/>
        </w:trPr>
        <w:tc>
          <w:tcPr>
            <w:tcW w:w="126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A3305F0" w14:textId="77777777" w:rsidR="00CF4273" w:rsidRPr="00FC346C" w:rsidRDefault="00CF4273" w:rsidP="00352DD7">
            <w:pPr>
              <w:spacing w:after="0" w:line="360" w:lineRule="auto"/>
              <w:contextualSpacing/>
              <w:jc w:val="center"/>
              <w:rPr>
                <w:rFonts w:ascii="Times New Roman" w:eastAsia="Times New Roman" w:hAnsi="Times New Roman" w:cs="Times New Roman"/>
                <w:b/>
                <w:bCs/>
                <w:sz w:val="23"/>
                <w:szCs w:val="23"/>
                <w:lang w:eastAsia="en-IN"/>
              </w:rPr>
            </w:pPr>
            <w:r w:rsidRPr="00FC346C">
              <w:rPr>
                <w:rFonts w:ascii="Times New Roman" w:eastAsia="Times New Roman" w:hAnsi="Times New Roman" w:cs="Times New Roman"/>
                <w:b/>
                <w:bCs/>
                <w:sz w:val="23"/>
                <w:szCs w:val="23"/>
                <w:lang w:eastAsia="en-IN"/>
              </w:rPr>
              <w:t>Particulars</w:t>
            </w:r>
          </w:p>
        </w:tc>
        <w:tc>
          <w:tcPr>
            <w:tcW w:w="1287"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1277BCC4" w14:textId="77777777" w:rsidR="00CF4273" w:rsidRPr="00FC346C" w:rsidRDefault="00CF4273" w:rsidP="00352DD7">
            <w:pPr>
              <w:spacing w:after="0" w:line="360" w:lineRule="auto"/>
              <w:contextualSpacing/>
              <w:jc w:val="center"/>
              <w:rPr>
                <w:rFonts w:ascii="Times New Roman" w:eastAsia="Times New Roman" w:hAnsi="Times New Roman" w:cs="Times New Roman"/>
                <w:b/>
                <w:bCs/>
                <w:sz w:val="23"/>
                <w:szCs w:val="23"/>
                <w:lang w:eastAsia="en-IN"/>
              </w:rPr>
            </w:pPr>
            <w:r w:rsidRPr="00FC346C">
              <w:rPr>
                <w:rFonts w:ascii="Times New Roman" w:eastAsia="Times New Roman" w:hAnsi="Times New Roman" w:cs="Times New Roman"/>
                <w:b/>
                <w:bCs/>
                <w:sz w:val="23"/>
                <w:szCs w:val="23"/>
                <w:lang w:eastAsia="en-IN"/>
              </w:rPr>
              <w:t>BSE Power</w:t>
            </w:r>
          </w:p>
        </w:tc>
      </w:tr>
      <w:tr w:rsidR="00CF4273" w:rsidRPr="00FC346C" w14:paraId="4C5C490E" w14:textId="77777777" w:rsidTr="00B62DE5">
        <w:trPr>
          <w:trHeight w:val="290"/>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6223884B" w14:textId="77777777" w:rsidR="00CF4273" w:rsidRPr="00FC346C" w:rsidRDefault="00CF4273" w:rsidP="00352DD7">
            <w:pPr>
              <w:spacing w:after="0" w:line="360" w:lineRule="auto"/>
              <w:contextualSpacing/>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Covariance</w:t>
            </w:r>
          </w:p>
        </w:tc>
        <w:tc>
          <w:tcPr>
            <w:tcW w:w="1287" w:type="dxa"/>
            <w:tcBorders>
              <w:top w:val="nil"/>
              <w:left w:val="nil"/>
              <w:bottom w:val="single" w:sz="4" w:space="0" w:color="auto"/>
              <w:right w:val="single" w:sz="4" w:space="0" w:color="auto"/>
            </w:tcBorders>
            <w:shd w:val="clear" w:color="auto" w:fill="auto"/>
            <w:noWrap/>
            <w:vAlign w:val="center"/>
            <w:hideMark/>
          </w:tcPr>
          <w:p w14:paraId="08309F4F" w14:textId="77777777" w:rsidR="00CF4273" w:rsidRPr="00FC346C" w:rsidRDefault="00CF4273" w:rsidP="00352DD7">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0.000161</w:t>
            </w:r>
          </w:p>
        </w:tc>
      </w:tr>
      <w:tr w:rsidR="00CF4273" w:rsidRPr="00FC346C" w14:paraId="72F7AA53" w14:textId="77777777" w:rsidTr="00B62DE5">
        <w:trPr>
          <w:trHeight w:val="290"/>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0B6B7023" w14:textId="77777777" w:rsidR="00CF4273" w:rsidRPr="00FC346C" w:rsidRDefault="00CF4273" w:rsidP="00352DD7">
            <w:pPr>
              <w:spacing w:after="0" w:line="360" w:lineRule="auto"/>
              <w:contextualSpacing/>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Variance</w:t>
            </w:r>
          </w:p>
        </w:tc>
        <w:tc>
          <w:tcPr>
            <w:tcW w:w="1287" w:type="dxa"/>
            <w:tcBorders>
              <w:top w:val="nil"/>
              <w:left w:val="nil"/>
              <w:bottom w:val="single" w:sz="4" w:space="0" w:color="auto"/>
              <w:right w:val="single" w:sz="4" w:space="0" w:color="auto"/>
            </w:tcBorders>
            <w:shd w:val="clear" w:color="auto" w:fill="auto"/>
            <w:noWrap/>
            <w:vAlign w:val="center"/>
            <w:hideMark/>
          </w:tcPr>
          <w:p w14:paraId="33B99E38" w14:textId="77777777" w:rsidR="00CF4273" w:rsidRPr="00FC346C" w:rsidRDefault="00CF4273" w:rsidP="00352DD7">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0.00018</w:t>
            </w:r>
          </w:p>
        </w:tc>
      </w:tr>
      <w:tr w:rsidR="00CF4273" w:rsidRPr="00FC346C" w14:paraId="2276D926" w14:textId="77777777" w:rsidTr="00B62DE5">
        <w:trPr>
          <w:trHeight w:val="290"/>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224E2625" w14:textId="77777777" w:rsidR="00CF4273" w:rsidRPr="00FC346C" w:rsidRDefault="00CF4273" w:rsidP="00352DD7">
            <w:pPr>
              <w:spacing w:after="0" w:line="360" w:lineRule="auto"/>
              <w:contextualSpacing/>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Beta</w:t>
            </w:r>
          </w:p>
        </w:tc>
        <w:tc>
          <w:tcPr>
            <w:tcW w:w="1287" w:type="dxa"/>
            <w:tcBorders>
              <w:top w:val="nil"/>
              <w:left w:val="nil"/>
              <w:bottom w:val="single" w:sz="4" w:space="0" w:color="auto"/>
              <w:right w:val="single" w:sz="4" w:space="0" w:color="auto"/>
            </w:tcBorders>
            <w:shd w:val="clear" w:color="auto" w:fill="auto"/>
            <w:noWrap/>
            <w:vAlign w:val="center"/>
            <w:hideMark/>
          </w:tcPr>
          <w:p w14:paraId="2B1A13D0" w14:textId="77777777" w:rsidR="00CF4273" w:rsidRPr="00FC346C" w:rsidRDefault="00CF4273" w:rsidP="00352DD7">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0.9072</w:t>
            </w:r>
          </w:p>
        </w:tc>
      </w:tr>
      <w:tr w:rsidR="00CF4273" w:rsidRPr="00FC346C" w14:paraId="4878CD80" w14:textId="77777777" w:rsidTr="00B62DE5">
        <w:trPr>
          <w:trHeight w:val="290"/>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4753E54" w14:textId="77777777" w:rsidR="00CF4273" w:rsidRPr="00FC346C" w:rsidRDefault="00CF4273" w:rsidP="00352DD7">
            <w:pPr>
              <w:spacing w:after="0" w:line="360" w:lineRule="auto"/>
              <w:contextualSpacing/>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Rf</w:t>
            </w:r>
          </w:p>
        </w:tc>
        <w:tc>
          <w:tcPr>
            <w:tcW w:w="1287" w:type="dxa"/>
            <w:tcBorders>
              <w:top w:val="nil"/>
              <w:left w:val="nil"/>
              <w:bottom w:val="single" w:sz="4" w:space="0" w:color="auto"/>
              <w:right w:val="single" w:sz="4" w:space="0" w:color="auto"/>
            </w:tcBorders>
            <w:shd w:val="clear" w:color="auto" w:fill="auto"/>
            <w:noWrap/>
            <w:vAlign w:val="center"/>
            <w:hideMark/>
          </w:tcPr>
          <w:p w14:paraId="60E4E6D8" w14:textId="77777777" w:rsidR="00CF4273" w:rsidRPr="00FC346C" w:rsidRDefault="00CF4273" w:rsidP="00352DD7">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7.35%</w:t>
            </w:r>
          </w:p>
        </w:tc>
      </w:tr>
      <w:tr w:rsidR="00CF4273" w:rsidRPr="00FC346C" w14:paraId="7F31E69B" w14:textId="77777777" w:rsidTr="00B62DE5">
        <w:trPr>
          <w:trHeight w:val="290"/>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5D7089F4" w14:textId="77777777" w:rsidR="00CF4273" w:rsidRPr="00FC346C" w:rsidRDefault="00CF4273" w:rsidP="00352DD7">
            <w:pPr>
              <w:spacing w:after="0" w:line="360" w:lineRule="auto"/>
              <w:contextualSpacing/>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Rm</w:t>
            </w:r>
          </w:p>
        </w:tc>
        <w:tc>
          <w:tcPr>
            <w:tcW w:w="1287" w:type="dxa"/>
            <w:tcBorders>
              <w:top w:val="nil"/>
              <w:left w:val="nil"/>
              <w:bottom w:val="single" w:sz="4" w:space="0" w:color="auto"/>
              <w:right w:val="single" w:sz="4" w:space="0" w:color="auto"/>
            </w:tcBorders>
            <w:shd w:val="clear" w:color="auto" w:fill="auto"/>
            <w:noWrap/>
            <w:vAlign w:val="center"/>
            <w:hideMark/>
          </w:tcPr>
          <w:p w14:paraId="41694968" w14:textId="77777777" w:rsidR="00CF4273" w:rsidRPr="00FC346C" w:rsidRDefault="00CF4273" w:rsidP="00352DD7">
            <w:pPr>
              <w:spacing w:after="0" w:line="360" w:lineRule="auto"/>
              <w:contextualSpacing/>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9.88%</w:t>
            </w:r>
          </w:p>
        </w:tc>
      </w:tr>
      <w:tr w:rsidR="00CF4273" w:rsidRPr="00FC346C" w14:paraId="039484AA" w14:textId="77777777" w:rsidTr="00B62DE5">
        <w:trPr>
          <w:trHeight w:val="290"/>
          <w:jc w:val="center"/>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3868C19E" w14:textId="77777777" w:rsidR="00CF4273" w:rsidRPr="00FC346C" w:rsidRDefault="00CF4273" w:rsidP="00352DD7">
            <w:pPr>
              <w:spacing w:after="0" w:line="360" w:lineRule="auto"/>
              <w:contextualSpacing/>
              <w:jc w:val="center"/>
              <w:rPr>
                <w:rFonts w:ascii="Times New Roman" w:eastAsia="Times New Roman" w:hAnsi="Times New Roman" w:cs="Times New Roman"/>
                <w:b/>
                <w:color w:val="000000"/>
                <w:sz w:val="23"/>
                <w:szCs w:val="23"/>
                <w:lang w:eastAsia="en-IN"/>
              </w:rPr>
            </w:pPr>
            <w:r w:rsidRPr="00FC346C">
              <w:rPr>
                <w:rFonts w:ascii="Times New Roman" w:eastAsia="Times New Roman" w:hAnsi="Times New Roman" w:cs="Times New Roman"/>
                <w:b/>
                <w:color w:val="000000"/>
                <w:sz w:val="23"/>
                <w:szCs w:val="23"/>
                <w:lang w:eastAsia="en-IN"/>
              </w:rPr>
              <w:t>Re</w:t>
            </w:r>
          </w:p>
        </w:tc>
        <w:tc>
          <w:tcPr>
            <w:tcW w:w="1287" w:type="dxa"/>
            <w:tcBorders>
              <w:top w:val="nil"/>
              <w:left w:val="nil"/>
              <w:bottom w:val="single" w:sz="4" w:space="0" w:color="auto"/>
              <w:right w:val="single" w:sz="4" w:space="0" w:color="auto"/>
            </w:tcBorders>
            <w:shd w:val="clear" w:color="auto" w:fill="auto"/>
            <w:noWrap/>
            <w:vAlign w:val="center"/>
            <w:hideMark/>
          </w:tcPr>
          <w:p w14:paraId="25D8A73D" w14:textId="77777777" w:rsidR="00CF4273" w:rsidRPr="00FC346C" w:rsidRDefault="00CF4273" w:rsidP="00352DD7">
            <w:pPr>
              <w:spacing w:after="0" w:line="360" w:lineRule="auto"/>
              <w:contextualSpacing/>
              <w:jc w:val="center"/>
              <w:rPr>
                <w:rFonts w:ascii="Times New Roman" w:eastAsia="Times New Roman" w:hAnsi="Times New Roman" w:cs="Times New Roman"/>
                <w:b/>
                <w:color w:val="000000"/>
                <w:sz w:val="23"/>
                <w:szCs w:val="23"/>
                <w:lang w:eastAsia="en-IN"/>
              </w:rPr>
            </w:pPr>
            <w:r w:rsidRPr="00FC346C">
              <w:rPr>
                <w:rFonts w:ascii="Times New Roman" w:eastAsia="Times New Roman" w:hAnsi="Times New Roman" w:cs="Times New Roman"/>
                <w:b/>
                <w:color w:val="000000"/>
                <w:sz w:val="23"/>
                <w:szCs w:val="23"/>
                <w:lang w:eastAsia="en-IN"/>
              </w:rPr>
              <w:t>9.65%</w:t>
            </w:r>
          </w:p>
        </w:tc>
      </w:tr>
    </w:tbl>
    <w:p w14:paraId="73B21564" w14:textId="77777777" w:rsidR="00CF4273" w:rsidRPr="00FC346C" w:rsidRDefault="00CF4273" w:rsidP="00352DD7">
      <w:pPr>
        <w:pStyle w:val="Default"/>
        <w:spacing w:line="360" w:lineRule="auto"/>
        <w:ind w:left="284"/>
        <w:jc w:val="both"/>
        <w:rPr>
          <w:rFonts w:ascii="Times New Roman" w:hAnsi="Times New Roman" w:cs="Times New Roman"/>
          <w:sz w:val="23"/>
          <w:szCs w:val="23"/>
        </w:rPr>
      </w:pPr>
    </w:p>
    <w:p w14:paraId="11EBA0E8" w14:textId="77777777" w:rsidR="00CF4273" w:rsidRPr="00FC346C" w:rsidRDefault="00CF4273" w:rsidP="00352DD7">
      <w:pPr>
        <w:pStyle w:val="Default"/>
        <w:spacing w:line="360" w:lineRule="auto"/>
        <w:ind w:left="284"/>
        <w:jc w:val="both"/>
        <w:rPr>
          <w:rFonts w:ascii="Times New Roman" w:hAnsi="Times New Roman" w:cs="Times New Roman"/>
          <w:sz w:val="23"/>
          <w:szCs w:val="23"/>
        </w:rPr>
      </w:pPr>
      <w:r w:rsidRPr="00FC346C">
        <w:rPr>
          <w:rFonts w:ascii="Times New Roman" w:hAnsi="Times New Roman" w:cs="Times New Roman"/>
          <w:sz w:val="23"/>
          <w:szCs w:val="23"/>
        </w:rPr>
        <w:t>The expected return of the market is 9.65%.</w:t>
      </w:r>
    </w:p>
    <w:p w14:paraId="503E077F" w14:textId="77777777" w:rsidR="004204BC" w:rsidRPr="00FC346C" w:rsidRDefault="004204BC" w:rsidP="00352DD7">
      <w:pPr>
        <w:pStyle w:val="ListParagraph"/>
        <w:spacing w:after="0" w:line="360" w:lineRule="auto"/>
        <w:ind w:left="283"/>
        <w:contextualSpacing w:val="0"/>
        <w:jc w:val="both"/>
        <w:rPr>
          <w:rFonts w:ascii="Times New Roman" w:hAnsi="Times New Roman" w:cs="Times New Roman"/>
          <w:sz w:val="23"/>
          <w:szCs w:val="23"/>
        </w:rPr>
      </w:pPr>
    </w:p>
    <w:p w14:paraId="55FD73D5" w14:textId="6FE5DEC5" w:rsidR="008036EE" w:rsidRPr="00FC346C" w:rsidRDefault="00CF4273" w:rsidP="00352DD7">
      <w:pPr>
        <w:pStyle w:val="ListParagraph"/>
        <w:numPr>
          <w:ilvl w:val="0"/>
          <w:numId w:val="1"/>
        </w:numPr>
        <w:spacing w:after="0" w:line="360" w:lineRule="auto"/>
        <w:ind w:left="426" w:hanging="426"/>
        <w:jc w:val="both"/>
        <w:rPr>
          <w:rFonts w:ascii="Times New Roman" w:hAnsi="Times New Roman" w:cs="Times New Roman"/>
          <w:sz w:val="23"/>
          <w:szCs w:val="23"/>
        </w:rPr>
      </w:pPr>
      <w:r w:rsidRPr="00FC346C">
        <w:rPr>
          <w:rFonts w:ascii="Times New Roman" w:hAnsi="Times New Roman" w:cs="Times New Roman"/>
          <w:sz w:val="23"/>
          <w:szCs w:val="23"/>
        </w:rPr>
        <w:t xml:space="preserve">Based on the above analysis, </w:t>
      </w:r>
      <w:proofErr w:type="gramStart"/>
      <w:r w:rsidRPr="00FC346C">
        <w:rPr>
          <w:rFonts w:ascii="Times New Roman" w:hAnsi="Times New Roman" w:cs="Times New Roman"/>
          <w:sz w:val="23"/>
          <w:szCs w:val="23"/>
        </w:rPr>
        <w:t>it can be seen that there</w:t>
      </w:r>
      <w:proofErr w:type="gramEnd"/>
      <w:r w:rsidRPr="00FC346C">
        <w:rPr>
          <w:rFonts w:ascii="Times New Roman" w:hAnsi="Times New Roman" w:cs="Times New Roman"/>
          <w:sz w:val="23"/>
          <w:szCs w:val="23"/>
        </w:rPr>
        <w:t xml:space="preserve"> is a significant difference in the expected return for conventional power projects compared to </w:t>
      </w:r>
      <w:r w:rsidR="00C93BD5" w:rsidRPr="00FC346C">
        <w:rPr>
          <w:rFonts w:ascii="Times New Roman" w:hAnsi="Times New Roman" w:cs="Times New Roman"/>
          <w:sz w:val="23"/>
          <w:szCs w:val="23"/>
        </w:rPr>
        <w:t>this Hon’ble Commission</w:t>
      </w:r>
      <w:r w:rsidRPr="00FC346C">
        <w:rPr>
          <w:rFonts w:ascii="Times New Roman" w:hAnsi="Times New Roman" w:cs="Times New Roman"/>
          <w:sz w:val="23"/>
          <w:szCs w:val="23"/>
        </w:rPr>
        <w:t>’s proposal</w:t>
      </w:r>
      <w:r w:rsidR="00045CC1" w:rsidRPr="00FC346C">
        <w:rPr>
          <w:rFonts w:ascii="Times New Roman" w:hAnsi="Times New Roman" w:cs="Times New Roman"/>
          <w:sz w:val="23"/>
          <w:szCs w:val="23"/>
        </w:rPr>
        <w:t xml:space="preserve"> in the RM</w:t>
      </w:r>
      <w:r w:rsidRPr="00FC346C">
        <w:rPr>
          <w:rFonts w:ascii="Times New Roman" w:hAnsi="Times New Roman" w:cs="Times New Roman"/>
          <w:sz w:val="23"/>
          <w:szCs w:val="23"/>
        </w:rPr>
        <w:t xml:space="preserve"> of 15.50%</w:t>
      </w:r>
      <w:r w:rsidR="00045CC1" w:rsidRPr="00FC346C">
        <w:rPr>
          <w:rFonts w:ascii="Times New Roman" w:hAnsi="Times New Roman" w:cs="Times New Roman"/>
          <w:sz w:val="23"/>
          <w:szCs w:val="23"/>
        </w:rPr>
        <w:t xml:space="preserve"> RoE</w:t>
      </w:r>
      <w:r w:rsidRPr="00FC346C">
        <w:rPr>
          <w:rFonts w:ascii="Times New Roman" w:hAnsi="Times New Roman" w:cs="Times New Roman"/>
          <w:sz w:val="23"/>
          <w:szCs w:val="23"/>
        </w:rPr>
        <w:t xml:space="preserve">. The analysis suggests that the expected return should be reduced from 15.50% to at least 12%. </w:t>
      </w:r>
    </w:p>
    <w:p w14:paraId="11FB182F" w14:textId="77777777" w:rsidR="008036EE" w:rsidRPr="00FC346C" w:rsidRDefault="008036EE" w:rsidP="00352DD7">
      <w:pPr>
        <w:pStyle w:val="ListParagraph"/>
        <w:spacing w:after="0" w:line="360" w:lineRule="auto"/>
        <w:ind w:left="426"/>
        <w:jc w:val="both"/>
        <w:rPr>
          <w:rFonts w:ascii="Times New Roman" w:hAnsi="Times New Roman" w:cs="Times New Roman"/>
          <w:sz w:val="23"/>
          <w:szCs w:val="23"/>
        </w:rPr>
      </w:pPr>
    </w:p>
    <w:p w14:paraId="17889643" w14:textId="60A02BFE" w:rsidR="00CF4273" w:rsidRPr="00FC346C" w:rsidRDefault="008036EE" w:rsidP="00352DD7">
      <w:pPr>
        <w:pStyle w:val="ListParagraph"/>
        <w:numPr>
          <w:ilvl w:val="0"/>
          <w:numId w:val="1"/>
        </w:numPr>
        <w:spacing w:after="0" w:line="360" w:lineRule="auto"/>
        <w:ind w:left="426" w:hanging="426"/>
        <w:jc w:val="both"/>
        <w:rPr>
          <w:rFonts w:ascii="Times New Roman" w:hAnsi="Times New Roman" w:cs="Times New Roman"/>
          <w:sz w:val="23"/>
          <w:szCs w:val="23"/>
        </w:rPr>
      </w:pPr>
      <w:r w:rsidRPr="00FC346C">
        <w:rPr>
          <w:rFonts w:ascii="Times New Roman" w:hAnsi="Times New Roman" w:cs="Times New Roman"/>
          <w:sz w:val="23"/>
          <w:szCs w:val="23"/>
        </w:rPr>
        <w:t xml:space="preserve">On the above basis, </w:t>
      </w:r>
      <w:r w:rsidR="00B946EC" w:rsidRPr="00FC346C">
        <w:rPr>
          <w:rFonts w:ascii="Times New Roman" w:hAnsi="Times New Roman" w:cs="Times New Roman"/>
          <w:sz w:val="23"/>
          <w:szCs w:val="23"/>
        </w:rPr>
        <w:t xml:space="preserve">I </w:t>
      </w:r>
      <w:r w:rsidR="00CF4273" w:rsidRPr="00FC346C">
        <w:rPr>
          <w:rFonts w:ascii="Times New Roman" w:hAnsi="Times New Roman" w:cs="Times New Roman"/>
          <w:sz w:val="23"/>
          <w:szCs w:val="23"/>
        </w:rPr>
        <w:t xml:space="preserve">respectfully request </w:t>
      </w:r>
      <w:r w:rsidR="00C93BD5" w:rsidRPr="00FC346C">
        <w:rPr>
          <w:rFonts w:ascii="Times New Roman" w:hAnsi="Times New Roman" w:cs="Times New Roman"/>
          <w:sz w:val="23"/>
          <w:szCs w:val="23"/>
        </w:rPr>
        <w:t>this Hon’ble Commission</w:t>
      </w:r>
      <w:r w:rsidR="00CF4273" w:rsidRPr="00FC346C">
        <w:rPr>
          <w:rFonts w:ascii="Times New Roman" w:hAnsi="Times New Roman" w:cs="Times New Roman"/>
          <w:sz w:val="23"/>
          <w:szCs w:val="23"/>
        </w:rPr>
        <w:t xml:space="preserve"> to reconsider the expected return for conventional power projects for the upcoming control period based on the current market scenario of risk and return.</w:t>
      </w:r>
      <w:r w:rsidR="00C7128C" w:rsidRPr="00FC346C">
        <w:rPr>
          <w:rFonts w:ascii="Times New Roman" w:hAnsi="Times New Roman" w:cs="Times New Roman"/>
          <w:sz w:val="23"/>
          <w:szCs w:val="23"/>
        </w:rPr>
        <w:t xml:space="preserve"> There appears to be little justification to have a </w:t>
      </w:r>
      <w:r w:rsidR="00C93BD5" w:rsidRPr="00FC346C">
        <w:rPr>
          <w:rFonts w:ascii="Times New Roman" w:hAnsi="Times New Roman" w:cs="Times New Roman"/>
          <w:sz w:val="23"/>
          <w:szCs w:val="23"/>
        </w:rPr>
        <w:t>RoE</w:t>
      </w:r>
      <w:r w:rsidR="00C7128C" w:rsidRPr="00FC346C">
        <w:rPr>
          <w:rFonts w:ascii="Times New Roman" w:hAnsi="Times New Roman" w:cs="Times New Roman"/>
          <w:sz w:val="23"/>
          <w:szCs w:val="23"/>
        </w:rPr>
        <w:t xml:space="preserve"> exceeding 12%. </w:t>
      </w:r>
    </w:p>
    <w:p w14:paraId="35F1593A" w14:textId="77777777" w:rsidR="00CF4273" w:rsidRPr="00FC346C" w:rsidRDefault="00CF4273" w:rsidP="00352DD7">
      <w:pPr>
        <w:pStyle w:val="ListParagraph"/>
        <w:spacing w:after="0" w:line="360" w:lineRule="auto"/>
        <w:ind w:left="426"/>
        <w:jc w:val="both"/>
        <w:rPr>
          <w:rFonts w:ascii="Times New Roman" w:hAnsi="Times New Roman" w:cs="Times New Roman"/>
          <w:sz w:val="23"/>
          <w:szCs w:val="23"/>
        </w:rPr>
      </w:pPr>
    </w:p>
    <w:p w14:paraId="09C317C3" w14:textId="77777777" w:rsidR="00565572" w:rsidRPr="00FC346C" w:rsidRDefault="00565572" w:rsidP="00352DD7">
      <w:pPr>
        <w:pStyle w:val="ListParagraph"/>
        <w:spacing w:after="0" w:line="360" w:lineRule="auto"/>
        <w:ind w:left="426"/>
        <w:jc w:val="both"/>
        <w:rPr>
          <w:rFonts w:ascii="Times New Roman" w:hAnsi="Times New Roman" w:cs="Times New Roman"/>
          <w:b/>
          <w:bCs/>
          <w:smallCaps/>
          <w:sz w:val="23"/>
          <w:szCs w:val="23"/>
        </w:rPr>
      </w:pPr>
      <w:r w:rsidRPr="00FC346C">
        <w:rPr>
          <w:rFonts w:ascii="Times New Roman" w:hAnsi="Times New Roman" w:cs="Times New Roman"/>
          <w:b/>
          <w:bCs/>
          <w:smallCaps/>
          <w:sz w:val="23"/>
          <w:szCs w:val="23"/>
        </w:rPr>
        <w:t>Lower Risk in the Transmission Sector</w:t>
      </w:r>
    </w:p>
    <w:p w14:paraId="1C734C6A" w14:textId="77777777" w:rsidR="00565572" w:rsidRPr="00FC346C" w:rsidRDefault="00565572" w:rsidP="00352DD7">
      <w:pPr>
        <w:pStyle w:val="ListParagraph"/>
        <w:spacing w:after="0" w:line="360" w:lineRule="auto"/>
        <w:ind w:left="426"/>
        <w:jc w:val="both"/>
        <w:rPr>
          <w:rFonts w:ascii="Times New Roman" w:hAnsi="Times New Roman" w:cs="Times New Roman"/>
          <w:sz w:val="23"/>
          <w:szCs w:val="23"/>
        </w:rPr>
      </w:pPr>
    </w:p>
    <w:p w14:paraId="0E47374F" w14:textId="13C63B62" w:rsidR="00565572" w:rsidRPr="00FC346C" w:rsidRDefault="00565572" w:rsidP="00352DD7">
      <w:pPr>
        <w:pStyle w:val="ListParagraph"/>
        <w:numPr>
          <w:ilvl w:val="0"/>
          <w:numId w:val="1"/>
        </w:numPr>
        <w:spacing w:after="0" w:line="360" w:lineRule="auto"/>
        <w:ind w:left="426" w:hanging="426"/>
        <w:jc w:val="both"/>
        <w:rPr>
          <w:rFonts w:ascii="Times New Roman" w:hAnsi="Times New Roman" w:cs="Times New Roman"/>
          <w:sz w:val="23"/>
          <w:szCs w:val="23"/>
        </w:rPr>
      </w:pPr>
      <w:r w:rsidRPr="00FC346C">
        <w:rPr>
          <w:rFonts w:ascii="Times New Roman" w:eastAsia="Times New Roman" w:hAnsi="Times New Roman" w:cs="Times New Roman"/>
          <w:sz w:val="23"/>
          <w:szCs w:val="23"/>
        </w:rPr>
        <w:t xml:space="preserve">The NTP clarifies that risk and return must go hand in hand. Further, the </w:t>
      </w:r>
      <w:proofErr w:type="spellStart"/>
      <w:r w:rsidRPr="00FC346C">
        <w:rPr>
          <w:rFonts w:ascii="Times New Roman" w:eastAsia="Times New Roman" w:hAnsi="Times New Roman" w:cs="Times New Roman"/>
          <w:sz w:val="23"/>
          <w:szCs w:val="23"/>
        </w:rPr>
        <w:t>FoR</w:t>
      </w:r>
      <w:proofErr w:type="spellEnd"/>
      <w:r w:rsidRPr="00FC346C">
        <w:rPr>
          <w:rFonts w:ascii="Times New Roman" w:eastAsia="Times New Roman" w:hAnsi="Times New Roman" w:cs="Times New Roman"/>
          <w:sz w:val="23"/>
          <w:szCs w:val="23"/>
        </w:rPr>
        <w:t xml:space="preserve"> Report notes that the transmission business has the lowest risk in the entire value chain of the transmission sector, and therefore its RoE needs to be </w:t>
      </w:r>
      <w:r w:rsidR="0086387E" w:rsidRPr="00FC346C">
        <w:rPr>
          <w:rFonts w:ascii="Times New Roman" w:eastAsia="Times New Roman" w:hAnsi="Times New Roman" w:cs="Times New Roman"/>
          <w:sz w:val="23"/>
          <w:szCs w:val="23"/>
        </w:rPr>
        <w:t>reviewed immediately</w:t>
      </w:r>
      <w:r w:rsidRPr="00FC346C">
        <w:rPr>
          <w:rFonts w:ascii="Times New Roman" w:eastAsia="Times New Roman" w:hAnsi="Times New Roman" w:cs="Times New Roman"/>
          <w:sz w:val="23"/>
          <w:szCs w:val="23"/>
        </w:rPr>
        <w:t>.</w:t>
      </w:r>
    </w:p>
    <w:p w14:paraId="708D0080" w14:textId="77777777" w:rsidR="0086387E" w:rsidRPr="00FC346C" w:rsidRDefault="0086387E" w:rsidP="00352DD7">
      <w:pPr>
        <w:pStyle w:val="ListParagraph"/>
        <w:spacing w:after="0" w:line="360" w:lineRule="auto"/>
        <w:ind w:left="426"/>
        <w:jc w:val="both"/>
        <w:rPr>
          <w:rFonts w:ascii="Times New Roman" w:hAnsi="Times New Roman" w:cs="Times New Roman"/>
          <w:sz w:val="23"/>
          <w:szCs w:val="23"/>
        </w:rPr>
      </w:pPr>
    </w:p>
    <w:p w14:paraId="0C8BE287" w14:textId="7BC495FF" w:rsidR="0086387E" w:rsidRPr="00FC346C" w:rsidRDefault="00002DC4" w:rsidP="00352DD7">
      <w:pPr>
        <w:pStyle w:val="ListParagraph"/>
        <w:numPr>
          <w:ilvl w:val="0"/>
          <w:numId w:val="1"/>
        </w:numPr>
        <w:spacing w:after="0" w:line="360" w:lineRule="auto"/>
        <w:ind w:left="426" w:hanging="426"/>
        <w:jc w:val="both"/>
        <w:rPr>
          <w:rFonts w:ascii="Times New Roman" w:hAnsi="Times New Roman" w:cs="Times New Roman"/>
          <w:sz w:val="23"/>
          <w:szCs w:val="23"/>
        </w:rPr>
      </w:pPr>
      <w:r w:rsidRPr="00FC346C">
        <w:rPr>
          <w:rFonts w:ascii="Times New Roman" w:hAnsi="Times New Roman" w:cs="Times New Roman"/>
          <w:sz w:val="23"/>
          <w:szCs w:val="23"/>
        </w:rPr>
        <w:t>Thus, i</w:t>
      </w:r>
      <w:r w:rsidR="0086387E" w:rsidRPr="00FC346C">
        <w:rPr>
          <w:rFonts w:ascii="Times New Roman" w:hAnsi="Times New Roman" w:cs="Times New Roman"/>
          <w:sz w:val="23"/>
          <w:szCs w:val="23"/>
        </w:rPr>
        <w:t>t is a widely known principle that the rate of RoE should be commensurate to the risk of the investment</w:t>
      </w:r>
      <w:r w:rsidRPr="00FC346C">
        <w:rPr>
          <w:rFonts w:ascii="Times New Roman" w:hAnsi="Times New Roman" w:cs="Times New Roman"/>
          <w:sz w:val="23"/>
          <w:szCs w:val="23"/>
        </w:rPr>
        <w:t>,</w:t>
      </w:r>
      <w:r w:rsidR="0086387E" w:rsidRPr="00FC346C">
        <w:rPr>
          <w:rFonts w:ascii="Times New Roman" w:hAnsi="Times New Roman" w:cs="Times New Roman"/>
          <w:sz w:val="23"/>
          <w:szCs w:val="23"/>
        </w:rPr>
        <w:t xml:space="preserve"> which has also been recognised by </w:t>
      </w:r>
      <w:r w:rsidR="00C93BD5" w:rsidRPr="00FC346C">
        <w:rPr>
          <w:rFonts w:ascii="Times New Roman" w:hAnsi="Times New Roman" w:cs="Times New Roman"/>
          <w:sz w:val="23"/>
          <w:szCs w:val="23"/>
        </w:rPr>
        <w:t xml:space="preserve">this Hon’ble Commission </w:t>
      </w:r>
      <w:r w:rsidR="0086387E" w:rsidRPr="00FC346C">
        <w:rPr>
          <w:rFonts w:ascii="Times New Roman" w:hAnsi="Times New Roman" w:cs="Times New Roman"/>
          <w:sz w:val="23"/>
          <w:szCs w:val="23"/>
        </w:rPr>
        <w:t xml:space="preserve">as provided earlier in various explanatory memoranda, statements of reasons, </w:t>
      </w:r>
      <w:proofErr w:type="spellStart"/>
      <w:r w:rsidR="0086387E" w:rsidRPr="00FC346C">
        <w:rPr>
          <w:rFonts w:ascii="Times New Roman" w:hAnsi="Times New Roman" w:cs="Times New Roman"/>
          <w:i/>
          <w:iCs/>
          <w:sz w:val="23"/>
          <w:szCs w:val="23"/>
        </w:rPr>
        <w:t>suo</w:t>
      </w:r>
      <w:proofErr w:type="spellEnd"/>
      <w:r w:rsidR="0086387E" w:rsidRPr="00FC346C">
        <w:rPr>
          <w:rFonts w:ascii="Times New Roman" w:hAnsi="Times New Roman" w:cs="Times New Roman"/>
          <w:i/>
          <w:iCs/>
          <w:sz w:val="23"/>
          <w:szCs w:val="23"/>
        </w:rPr>
        <w:t>-moto</w:t>
      </w:r>
      <w:r w:rsidR="0086387E" w:rsidRPr="00FC346C">
        <w:rPr>
          <w:rFonts w:ascii="Times New Roman" w:hAnsi="Times New Roman" w:cs="Times New Roman"/>
          <w:sz w:val="23"/>
          <w:szCs w:val="23"/>
        </w:rPr>
        <w:t xml:space="preserve"> orders, </w:t>
      </w:r>
      <w:r w:rsidR="0086387E" w:rsidRPr="00FC346C">
        <w:rPr>
          <w:rFonts w:ascii="Times New Roman" w:hAnsi="Times New Roman" w:cs="Times New Roman"/>
          <w:i/>
          <w:iCs/>
          <w:sz w:val="23"/>
          <w:szCs w:val="23"/>
        </w:rPr>
        <w:t>etc</w:t>
      </w:r>
      <w:r w:rsidR="0086387E" w:rsidRPr="00FC346C">
        <w:rPr>
          <w:rFonts w:ascii="Times New Roman" w:hAnsi="Times New Roman" w:cs="Times New Roman"/>
          <w:sz w:val="23"/>
          <w:szCs w:val="23"/>
        </w:rPr>
        <w:t>. As such</w:t>
      </w:r>
      <w:r w:rsidR="00682EFD" w:rsidRPr="00FC346C">
        <w:rPr>
          <w:rFonts w:ascii="Times New Roman" w:hAnsi="Times New Roman" w:cs="Times New Roman"/>
          <w:sz w:val="23"/>
          <w:szCs w:val="23"/>
        </w:rPr>
        <w:t>,</w:t>
      </w:r>
      <w:r w:rsidR="0086387E" w:rsidRPr="00FC346C">
        <w:rPr>
          <w:rFonts w:ascii="Times New Roman" w:hAnsi="Times New Roman" w:cs="Times New Roman"/>
          <w:sz w:val="23"/>
          <w:szCs w:val="23"/>
        </w:rPr>
        <w:t xml:space="preserve"> the transmission projects have a very low gestation period of 2-3 years compared to a </w:t>
      </w:r>
      <w:r w:rsidR="00C37C73" w:rsidRPr="00FC346C">
        <w:rPr>
          <w:rFonts w:ascii="Times New Roman" w:hAnsi="Times New Roman" w:cs="Times New Roman"/>
          <w:sz w:val="23"/>
          <w:szCs w:val="23"/>
        </w:rPr>
        <w:t xml:space="preserve">thermal generation </w:t>
      </w:r>
      <w:r w:rsidR="0086387E" w:rsidRPr="00FC346C">
        <w:rPr>
          <w:rFonts w:ascii="Times New Roman" w:hAnsi="Times New Roman" w:cs="Times New Roman"/>
          <w:sz w:val="23"/>
          <w:szCs w:val="23"/>
        </w:rPr>
        <w:t>projects</w:t>
      </w:r>
      <w:r w:rsidR="00FA49E3" w:rsidRPr="00FC346C">
        <w:rPr>
          <w:rFonts w:ascii="Times New Roman" w:hAnsi="Times New Roman" w:cs="Times New Roman"/>
          <w:sz w:val="23"/>
          <w:szCs w:val="23"/>
        </w:rPr>
        <w:t>’</w:t>
      </w:r>
      <w:r w:rsidR="0086387E" w:rsidRPr="00FC346C">
        <w:rPr>
          <w:rFonts w:ascii="Times New Roman" w:hAnsi="Times New Roman" w:cs="Times New Roman"/>
          <w:sz w:val="23"/>
          <w:szCs w:val="23"/>
        </w:rPr>
        <w:t xml:space="preserve"> gestation period of 4-5 years, which by itself makes </w:t>
      </w:r>
      <w:r w:rsidR="00C37C73" w:rsidRPr="00FC346C">
        <w:rPr>
          <w:rFonts w:ascii="Times New Roman" w:hAnsi="Times New Roman" w:cs="Times New Roman"/>
          <w:sz w:val="23"/>
          <w:szCs w:val="23"/>
        </w:rPr>
        <w:t>transmission business a</w:t>
      </w:r>
      <w:r w:rsidR="0086387E" w:rsidRPr="00FC346C">
        <w:rPr>
          <w:rFonts w:ascii="Times New Roman" w:hAnsi="Times New Roman" w:cs="Times New Roman"/>
          <w:sz w:val="23"/>
          <w:szCs w:val="23"/>
        </w:rPr>
        <w:t xml:space="preserve"> lower risk</w:t>
      </w:r>
      <w:r w:rsidR="00C37C73" w:rsidRPr="00FC346C">
        <w:rPr>
          <w:rFonts w:ascii="Times New Roman" w:hAnsi="Times New Roman" w:cs="Times New Roman"/>
          <w:sz w:val="23"/>
          <w:szCs w:val="23"/>
        </w:rPr>
        <w:t xml:space="preserve"> venture</w:t>
      </w:r>
      <w:r w:rsidR="0086387E" w:rsidRPr="00FC346C">
        <w:rPr>
          <w:rFonts w:ascii="Times New Roman" w:hAnsi="Times New Roman" w:cs="Times New Roman"/>
          <w:sz w:val="23"/>
          <w:szCs w:val="23"/>
        </w:rPr>
        <w:t>.</w:t>
      </w:r>
    </w:p>
    <w:p w14:paraId="752E3B0E" w14:textId="77777777" w:rsidR="0086387E" w:rsidRPr="00FC346C" w:rsidRDefault="0086387E" w:rsidP="00352DD7">
      <w:pPr>
        <w:pStyle w:val="ListParagraph"/>
        <w:spacing w:after="0" w:line="360" w:lineRule="auto"/>
        <w:ind w:left="426"/>
        <w:jc w:val="both"/>
        <w:rPr>
          <w:rFonts w:ascii="Times New Roman" w:hAnsi="Times New Roman" w:cs="Times New Roman"/>
          <w:sz w:val="23"/>
          <w:szCs w:val="23"/>
        </w:rPr>
      </w:pPr>
    </w:p>
    <w:p w14:paraId="6D7E1C26" w14:textId="3FBB58F7" w:rsidR="0086387E" w:rsidRPr="00FC346C" w:rsidRDefault="00751EC0" w:rsidP="00352DD7">
      <w:pPr>
        <w:pStyle w:val="ListParagraph"/>
        <w:numPr>
          <w:ilvl w:val="0"/>
          <w:numId w:val="1"/>
        </w:numPr>
        <w:spacing w:after="0" w:line="360" w:lineRule="auto"/>
        <w:ind w:left="426" w:hanging="426"/>
        <w:jc w:val="both"/>
        <w:rPr>
          <w:rFonts w:ascii="Times New Roman" w:hAnsi="Times New Roman" w:cs="Times New Roman"/>
          <w:sz w:val="23"/>
          <w:szCs w:val="23"/>
        </w:rPr>
      </w:pPr>
      <w:r w:rsidRPr="00FC346C">
        <w:rPr>
          <w:rFonts w:ascii="Times New Roman" w:hAnsi="Times New Roman" w:cs="Times New Roman"/>
          <w:sz w:val="23"/>
          <w:szCs w:val="23"/>
        </w:rPr>
        <w:t>T</w:t>
      </w:r>
      <w:r w:rsidR="0086387E" w:rsidRPr="00FC346C">
        <w:rPr>
          <w:rFonts w:ascii="Times New Roman" w:hAnsi="Times New Roman" w:cs="Times New Roman"/>
          <w:sz w:val="23"/>
          <w:szCs w:val="23"/>
        </w:rPr>
        <w:t xml:space="preserve">he major risks associated in the transmission projects are </w:t>
      </w:r>
      <w:proofErr w:type="gramStart"/>
      <w:r w:rsidR="0086387E" w:rsidRPr="00FC346C">
        <w:rPr>
          <w:rFonts w:ascii="Times New Roman" w:hAnsi="Times New Roman" w:cs="Times New Roman"/>
          <w:sz w:val="23"/>
          <w:szCs w:val="23"/>
        </w:rPr>
        <w:t>with regard to</w:t>
      </w:r>
      <w:proofErr w:type="gramEnd"/>
      <w:r w:rsidR="0086387E" w:rsidRPr="00FC346C">
        <w:rPr>
          <w:rFonts w:ascii="Times New Roman" w:hAnsi="Times New Roman" w:cs="Times New Roman"/>
          <w:sz w:val="23"/>
          <w:szCs w:val="23"/>
        </w:rPr>
        <w:t xml:space="preserve"> delay in commissioning the projects and negligible risk is associated for the balance life of the projects unlike generation projects having fuel</w:t>
      </w:r>
      <w:r w:rsidR="002B7DE9" w:rsidRPr="00FC346C">
        <w:rPr>
          <w:rFonts w:ascii="Times New Roman" w:hAnsi="Times New Roman" w:cs="Times New Roman"/>
          <w:sz w:val="23"/>
          <w:szCs w:val="23"/>
        </w:rPr>
        <w:t>-</w:t>
      </w:r>
      <w:r w:rsidR="0086387E" w:rsidRPr="00FC346C">
        <w:rPr>
          <w:rFonts w:ascii="Times New Roman" w:hAnsi="Times New Roman" w:cs="Times New Roman"/>
          <w:sz w:val="23"/>
          <w:szCs w:val="23"/>
        </w:rPr>
        <w:t>related, environment</w:t>
      </w:r>
      <w:r w:rsidR="002B7DE9" w:rsidRPr="00FC346C">
        <w:rPr>
          <w:rFonts w:ascii="Times New Roman" w:hAnsi="Times New Roman" w:cs="Times New Roman"/>
          <w:sz w:val="23"/>
          <w:szCs w:val="23"/>
        </w:rPr>
        <w:t>-</w:t>
      </w:r>
      <w:r w:rsidR="0086387E" w:rsidRPr="00FC346C">
        <w:rPr>
          <w:rFonts w:ascii="Times New Roman" w:hAnsi="Times New Roman" w:cs="Times New Roman"/>
          <w:sz w:val="23"/>
          <w:szCs w:val="23"/>
        </w:rPr>
        <w:t xml:space="preserve">related risks, </w:t>
      </w:r>
      <w:r w:rsidR="0086387E" w:rsidRPr="00FC346C">
        <w:rPr>
          <w:rFonts w:ascii="Times New Roman" w:hAnsi="Times New Roman" w:cs="Times New Roman"/>
          <w:i/>
          <w:iCs/>
          <w:sz w:val="23"/>
          <w:szCs w:val="23"/>
        </w:rPr>
        <w:t>etc</w:t>
      </w:r>
      <w:r w:rsidR="0086387E" w:rsidRPr="00FC346C">
        <w:rPr>
          <w:rFonts w:ascii="Times New Roman" w:hAnsi="Times New Roman" w:cs="Times New Roman"/>
          <w:sz w:val="23"/>
          <w:szCs w:val="23"/>
        </w:rPr>
        <w:t xml:space="preserve">. Even the risks associated with respect to the delays for cost plus tariff projects are mitigated by way of </w:t>
      </w:r>
      <w:r w:rsidR="002B7DE9" w:rsidRPr="00FC346C">
        <w:rPr>
          <w:rFonts w:ascii="Times New Roman" w:hAnsi="Times New Roman" w:cs="Times New Roman"/>
          <w:sz w:val="23"/>
          <w:szCs w:val="23"/>
        </w:rPr>
        <w:t>condonation</w:t>
      </w:r>
      <w:r w:rsidR="0086387E" w:rsidRPr="00FC346C">
        <w:rPr>
          <w:rFonts w:ascii="Times New Roman" w:hAnsi="Times New Roman" w:cs="Times New Roman"/>
          <w:sz w:val="23"/>
          <w:szCs w:val="23"/>
        </w:rPr>
        <w:t xml:space="preserve"> of delays by </w:t>
      </w:r>
      <w:r w:rsidR="00C93BD5" w:rsidRPr="00FC346C">
        <w:rPr>
          <w:rFonts w:ascii="Times New Roman" w:hAnsi="Times New Roman" w:cs="Times New Roman"/>
          <w:sz w:val="23"/>
          <w:szCs w:val="23"/>
        </w:rPr>
        <w:t>this Hon’ble Commission</w:t>
      </w:r>
      <w:r w:rsidR="0086387E" w:rsidRPr="00FC346C">
        <w:rPr>
          <w:rFonts w:ascii="Times New Roman" w:hAnsi="Times New Roman" w:cs="Times New Roman"/>
          <w:sz w:val="23"/>
          <w:szCs w:val="23"/>
        </w:rPr>
        <w:t xml:space="preserve"> and pass through of additional costs corresponding to the delays condoned. Therefore, majority of the risks are mitigated by way of regulatory interventions and as such these projects should attract lower returns due to the nature of risk remaining for the entire life of the project including the project cost disallowance risks.</w:t>
      </w:r>
    </w:p>
    <w:p w14:paraId="2467A161" w14:textId="77777777" w:rsidR="00644A6A" w:rsidRPr="00FC346C" w:rsidRDefault="00644A6A" w:rsidP="00352DD7">
      <w:pPr>
        <w:pStyle w:val="ListParagraph"/>
        <w:spacing w:after="0" w:line="360" w:lineRule="auto"/>
        <w:ind w:left="426"/>
        <w:jc w:val="both"/>
        <w:rPr>
          <w:rFonts w:ascii="Times New Roman" w:hAnsi="Times New Roman" w:cs="Times New Roman"/>
          <w:sz w:val="23"/>
          <w:szCs w:val="23"/>
        </w:rPr>
      </w:pPr>
    </w:p>
    <w:p w14:paraId="23B95DF1" w14:textId="625533C8" w:rsidR="00751EC0" w:rsidRPr="00FC346C" w:rsidRDefault="00751EC0" w:rsidP="00352DD7">
      <w:pPr>
        <w:pStyle w:val="ListParagraph"/>
        <w:numPr>
          <w:ilvl w:val="0"/>
          <w:numId w:val="1"/>
        </w:numPr>
        <w:spacing w:after="0" w:line="360" w:lineRule="auto"/>
        <w:ind w:left="426" w:hanging="426"/>
        <w:jc w:val="both"/>
        <w:rPr>
          <w:rFonts w:ascii="Times New Roman" w:hAnsi="Times New Roman" w:cs="Times New Roman"/>
          <w:sz w:val="23"/>
          <w:szCs w:val="23"/>
        </w:rPr>
      </w:pPr>
      <w:r w:rsidRPr="00FC346C">
        <w:rPr>
          <w:rFonts w:ascii="Times New Roman" w:hAnsi="Times New Roman" w:cs="Times New Roman"/>
          <w:sz w:val="23"/>
          <w:szCs w:val="23"/>
        </w:rPr>
        <w:t>In this regard, it is well known that RTM projects are entitled to claim time and cost overrun, Interest During Construction (</w:t>
      </w:r>
      <w:r w:rsidRPr="00FC346C">
        <w:rPr>
          <w:rFonts w:ascii="Times New Roman" w:hAnsi="Times New Roman" w:cs="Times New Roman"/>
          <w:b/>
          <w:bCs/>
          <w:sz w:val="23"/>
          <w:szCs w:val="23"/>
        </w:rPr>
        <w:t>IDC</w:t>
      </w:r>
      <w:r w:rsidRPr="00FC346C">
        <w:rPr>
          <w:rFonts w:ascii="Times New Roman" w:hAnsi="Times New Roman" w:cs="Times New Roman"/>
          <w:sz w:val="23"/>
          <w:szCs w:val="23"/>
        </w:rPr>
        <w:t>) and Incidental Expenditure During Construction (</w:t>
      </w:r>
      <w:r w:rsidRPr="00FC346C">
        <w:rPr>
          <w:rFonts w:ascii="Times New Roman" w:hAnsi="Times New Roman" w:cs="Times New Roman"/>
          <w:b/>
          <w:bCs/>
          <w:sz w:val="23"/>
          <w:szCs w:val="23"/>
        </w:rPr>
        <w:t>IEDC</w:t>
      </w:r>
      <w:r w:rsidRPr="00FC346C">
        <w:rPr>
          <w:rFonts w:ascii="Times New Roman" w:hAnsi="Times New Roman" w:cs="Times New Roman"/>
          <w:sz w:val="23"/>
          <w:szCs w:val="23"/>
        </w:rPr>
        <w:t xml:space="preserve">), unlike TBCB projects. On this basis, </w:t>
      </w:r>
      <w:r w:rsidR="00C93BD5" w:rsidRPr="00FC346C">
        <w:rPr>
          <w:rFonts w:ascii="Times New Roman" w:hAnsi="Times New Roman" w:cs="Times New Roman"/>
          <w:sz w:val="23"/>
          <w:szCs w:val="23"/>
        </w:rPr>
        <w:t>this Hon’ble Commission</w:t>
      </w:r>
      <w:r w:rsidRPr="00FC346C">
        <w:rPr>
          <w:rFonts w:ascii="Times New Roman" w:hAnsi="Times New Roman" w:cs="Times New Roman"/>
          <w:sz w:val="23"/>
          <w:szCs w:val="23"/>
        </w:rPr>
        <w:t xml:space="preserve"> routinely allows time &amp; cost overruns along with IDC and IEDC claims of RTM licensees and adjusts the tariff accordingly. A similar provision is provided under Clause 22(2) of the Draft Regulations. Notably, for the first time, ‘land acquisition delays’</w:t>
      </w:r>
      <w:r w:rsidRPr="00FC346C">
        <w:rPr>
          <w:rStyle w:val="FootnoteReference"/>
          <w:rFonts w:ascii="Times New Roman" w:hAnsi="Times New Roman" w:cs="Times New Roman"/>
          <w:sz w:val="23"/>
          <w:szCs w:val="23"/>
        </w:rPr>
        <w:footnoteReference w:id="3"/>
      </w:r>
      <w:r w:rsidRPr="00FC346C">
        <w:rPr>
          <w:rFonts w:ascii="Times New Roman" w:hAnsi="Times New Roman" w:cs="Times New Roman"/>
          <w:sz w:val="23"/>
          <w:szCs w:val="23"/>
        </w:rPr>
        <w:t xml:space="preserve"> have been expressly recognised as an uncontrollable factor in addition to Change in Law and Force Majeure events. This, among other reasons, warrants the RoE to be much lower for RTM transmission projects as most of the construction and operational risks are adequately addressed through appropriate tariff revision by </w:t>
      </w:r>
      <w:r w:rsidR="00C93BD5" w:rsidRPr="00FC346C">
        <w:rPr>
          <w:rFonts w:ascii="Times New Roman" w:hAnsi="Times New Roman" w:cs="Times New Roman"/>
          <w:sz w:val="23"/>
          <w:szCs w:val="23"/>
        </w:rPr>
        <w:t>this Hon’ble Commission</w:t>
      </w:r>
      <w:r w:rsidRPr="00FC346C">
        <w:rPr>
          <w:rFonts w:ascii="Times New Roman" w:hAnsi="Times New Roman" w:cs="Times New Roman"/>
          <w:sz w:val="23"/>
          <w:szCs w:val="23"/>
        </w:rPr>
        <w:t>.</w:t>
      </w:r>
    </w:p>
    <w:p w14:paraId="3A81E19F" w14:textId="77777777" w:rsidR="00751EC0" w:rsidRPr="00FC346C" w:rsidRDefault="00751EC0" w:rsidP="00352DD7">
      <w:pPr>
        <w:pStyle w:val="ListParagraph"/>
        <w:spacing w:after="0" w:line="360" w:lineRule="auto"/>
        <w:ind w:left="426"/>
        <w:jc w:val="both"/>
        <w:rPr>
          <w:rFonts w:ascii="Times New Roman" w:hAnsi="Times New Roman" w:cs="Times New Roman"/>
          <w:sz w:val="23"/>
          <w:szCs w:val="23"/>
        </w:rPr>
      </w:pPr>
    </w:p>
    <w:p w14:paraId="1A0AC61C" w14:textId="09F181EC" w:rsidR="0086387E" w:rsidRPr="00FC346C" w:rsidRDefault="002D28AB" w:rsidP="00352DD7">
      <w:pPr>
        <w:pStyle w:val="ListParagraph"/>
        <w:numPr>
          <w:ilvl w:val="0"/>
          <w:numId w:val="1"/>
        </w:numPr>
        <w:spacing w:after="0" w:line="360" w:lineRule="auto"/>
        <w:ind w:left="426" w:hanging="426"/>
        <w:jc w:val="both"/>
        <w:rPr>
          <w:rFonts w:ascii="Times New Roman" w:hAnsi="Times New Roman" w:cs="Times New Roman"/>
          <w:sz w:val="23"/>
          <w:szCs w:val="23"/>
        </w:rPr>
      </w:pPr>
      <w:r w:rsidRPr="00FC346C">
        <w:rPr>
          <w:rFonts w:ascii="Times New Roman" w:hAnsi="Times New Roman" w:cs="Times New Roman"/>
          <w:sz w:val="23"/>
          <w:szCs w:val="23"/>
        </w:rPr>
        <w:t xml:space="preserve">I </w:t>
      </w:r>
      <w:r w:rsidR="0086387E" w:rsidRPr="00FC346C">
        <w:rPr>
          <w:rFonts w:ascii="Times New Roman" w:hAnsi="Times New Roman" w:cs="Times New Roman"/>
          <w:sz w:val="23"/>
          <w:szCs w:val="23"/>
        </w:rPr>
        <w:t>have analysed the past data on the investments done in RTM projects (</w:t>
      </w:r>
      <w:r w:rsidR="00644A6A" w:rsidRPr="00FC346C">
        <w:rPr>
          <w:rFonts w:ascii="Times New Roman" w:hAnsi="Times New Roman" w:cs="Times New Roman"/>
          <w:sz w:val="23"/>
          <w:szCs w:val="23"/>
        </w:rPr>
        <w:t>INR</w:t>
      </w:r>
      <w:r w:rsidR="0086387E" w:rsidRPr="00FC346C">
        <w:rPr>
          <w:rFonts w:ascii="Times New Roman" w:hAnsi="Times New Roman" w:cs="Times New Roman"/>
          <w:sz w:val="23"/>
          <w:szCs w:val="23"/>
        </w:rPr>
        <w:t xml:space="preserve"> 1</w:t>
      </w:r>
      <w:r w:rsidR="00644A6A" w:rsidRPr="00FC346C">
        <w:rPr>
          <w:rFonts w:ascii="Times New Roman" w:hAnsi="Times New Roman" w:cs="Times New Roman"/>
          <w:sz w:val="23"/>
          <w:szCs w:val="23"/>
        </w:rPr>
        <w:t>,</w:t>
      </w:r>
      <w:r w:rsidR="0086387E" w:rsidRPr="00FC346C">
        <w:rPr>
          <w:rFonts w:ascii="Times New Roman" w:hAnsi="Times New Roman" w:cs="Times New Roman"/>
          <w:sz w:val="23"/>
          <w:szCs w:val="23"/>
        </w:rPr>
        <w:t>87</w:t>
      </w:r>
      <w:r w:rsidR="00644A6A" w:rsidRPr="00FC346C">
        <w:rPr>
          <w:rFonts w:ascii="Times New Roman" w:hAnsi="Times New Roman" w:cs="Times New Roman"/>
          <w:sz w:val="23"/>
          <w:szCs w:val="23"/>
        </w:rPr>
        <w:t>,000</w:t>
      </w:r>
      <w:r w:rsidR="0086387E" w:rsidRPr="00FC346C">
        <w:rPr>
          <w:rFonts w:ascii="Times New Roman" w:hAnsi="Times New Roman" w:cs="Times New Roman"/>
          <w:sz w:val="23"/>
          <w:szCs w:val="23"/>
        </w:rPr>
        <w:t xml:space="preserve"> Cr</w:t>
      </w:r>
      <w:r w:rsidR="00644A6A" w:rsidRPr="00FC346C">
        <w:rPr>
          <w:rFonts w:ascii="Times New Roman" w:hAnsi="Times New Roman" w:cs="Times New Roman"/>
          <w:sz w:val="23"/>
          <w:szCs w:val="23"/>
        </w:rPr>
        <w:t>ore</w:t>
      </w:r>
      <w:r w:rsidR="0086387E" w:rsidRPr="00FC346C">
        <w:rPr>
          <w:rFonts w:ascii="Times New Roman" w:hAnsi="Times New Roman" w:cs="Times New Roman"/>
          <w:sz w:val="23"/>
          <w:szCs w:val="23"/>
        </w:rPr>
        <w:t>) which is 2.46 times that in TBCB (</w:t>
      </w:r>
      <w:r w:rsidR="00644A6A" w:rsidRPr="00FC346C">
        <w:rPr>
          <w:rFonts w:ascii="Times New Roman" w:hAnsi="Times New Roman" w:cs="Times New Roman"/>
          <w:sz w:val="23"/>
          <w:szCs w:val="23"/>
        </w:rPr>
        <w:t xml:space="preserve">INR </w:t>
      </w:r>
      <w:r w:rsidR="0086387E" w:rsidRPr="00FC346C">
        <w:rPr>
          <w:rFonts w:ascii="Times New Roman" w:hAnsi="Times New Roman" w:cs="Times New Roman"/>
          <w:sz w:val="23"/>
          <w:szCs w:val="23"/>
        </w:rPr>
        <w:t>76</w:t>
      </w:r>
      <w:r w:rsidR="00644A6A" w:rsidRPr="00FC346C">
        <w:rPr>
          <w:rFonts w:ascii="Times New Roman" w:hAnsi="Times New Roman" w:cs="Times New Roman"/>
          <w:sz w:val="23"/>
          <w:szCs w:val="23"/>
        </w:rPr>
        <w:t>,000</w:t>
      </w:r>
      <w:r w:rsidR="0086387E" w:rsidRPr="00FC346C">
        <w:rPr>
          <w:rFonts w:ascii="Times New Roman" w:hAnsi="Times New Roman" w:cs="Times New Roman"/>
          <w:sz w:val="23"/>
          <w:szCs w:val="23"/>
        </w:rPr>
        <w:t xml:space="preserve"> Cr</w:t>
      </w:r>
      <w:r w:rsidR="00644A6A" w:rsidRPr="00FC346C">
        <w:rPr>
          <w:rFonts w:ascii="Times New Roman" w:hAnsi="Times New Roman" w:cs="Times New Roman"/>
          <w:sz w:val="23"/>
          <w:szCs w:val="23"/>
        </w:rPr>
        <w:t>ore</w:t>
      </w:r>
      <w:r w:rsidR="0086387E" w:rsidRPr="00FC346C">
        <w:rPr>
          <w:rFonts w:ascii="Times New Roman" w:hAnsi="Times New Roman" w:cs="Times New Roman"/>
          <w:sz w:val="23"/>
          <w:szCs w:val="23"/>
        </w:rPr>
        <w:t>) (data till June 2022) comprising of 203 RTM schemes and 62 TBCB schemes. Considering 203 RTM schemes comprising of 1060 distinct elements (post 2010), 68% of the elements faced delays out of which 39% of the delays were more than 10 months. However, out of the cumulative delays of 9</w:t>
      </w:r>
      <w:r w:rsidR="00644A6A" w:rsidRPr="00FC346C">
        <w:rPr>
          <w:rFonts w:ascii="Times New Roman" w:hAnsi="Times New Roman" w:cs="Times New Roman"/>
          <w:sz w:val="23"/>
          <w:szCs w:val="23"/>
        </w:rPr>
        <w:t>,</w:t>
      </w:r>
      <w:r w:rsidR="0086387E" w:rsidRPr="00FC346C">
        <w:rPr>
          <w:rFonts w:ascii="Times New Roman" w:hAnsi="Times New Roman" w:cs="Times New Roman"/>
          <w:sz w:val="23"/>
          <w:szCs w:val="23"/>
        </w:rPr>
        <w:t xml:space="preserve">778 months across elements commissioned between FY </w:t>
      </w:r>
      <w:r w:rsidR="00644A6A" w:rsidRPr="00FC346C">
        <w:rPr>
          <w:rFonts w:ascii="Times New Roman" w:hAnsi="Times New Roman" w:cs="Times New Roman"/>
          <w:sz w:val="23"/>
          <w:szCs w:val="23"/>
        </w:rPr>
        <w:t>20</w:t>
      </w:r>
      <w:r w:rsidR="0086387E" w:rsidRPr="00FC346C">
        <w:rPr>
          <w:rFonts w:ascii="Times New Roman" w:hAnsi="Times New Roman" w:cs="Times New Roman"/>
          <w:sz w:val="23"/>
          <w:szCs w:val="23"/>
        </w:rPr>
        <w:t>15</w:t>
      </w:r>
      <w:r w:rsidR="00644A6A" w:rsidRPr="00FC346C">
        <w:rPr>
          <w:rFonts w:ascii="Times New Roman" w:hAnsi="Times New Roman" w:cs="Times New Roman"/>
          <w:sz w:val="23"/>
          <w:szCs w:val="23"/>
        </w:rPr>
        <w:t>-16</w:t>
      </w:r>
      <w:r w:rsidR="0086387E" w:rsidRPr="00FC346C">
        <w:rPr>
          <w:rFonts w:ascii="Times New Roman" w:hAnsi="Times New Roman" w:cs="Times New Roman"/>
          <w:sz w:val="23"/>
          <w:szCs w:val="23"/>
        </w:rPr>
        <w:t xml:space="preserve"> to FY 20</w:t>
      </w:r>
      <w:r w:rsidR="00644A6A" w:rsidRPr="00FC346C">
        <w:rPr>
          <w:rFonts w:ascii="Times New Roman" w:hAnsi="Times New Roman" w:cs="Times New Roman"/>
          <w:sz w:val="23"/>
          <w:szCs w:val="23"/>
        </w:rPr>
        <w:t>20-21</w:t>
      </w:r>
      <w:r w:rsidR="0086387E" w:rsidRPr="00FC346C">
        <w:rPr>
          <w:rFonts w:ascii="Times New Roman" w:hAnsi="Times New Roman" w:cs="Times New Roman"/>
          <w:sz w:val="23"/>
          <w:szCs w:val="23"/>
        </w:rPr>
        <w:t xml:space="preserve">, 84% of the delays were condoned.  </w:t>
      </w:r>
    </w:p>
    <w:p w14:paraId="65068D15" w14:textId="77777777" w:rsidR="00644A6A" w:rsidRPr="00FC346C" w:rsidRDefault="00644A6A" w:rsidP="00352DD7">
      <w:pPr>
        <w:pStyle w:val="ListParagraph"/>
        <w:spacing w:after="0" w:line="360" w:lineRule="auto"/>
        <w:ind w:left="426"/>
        <w:jc w:val="both"/>
        <w:rPr>
          <w:rFonts w:ascii="Times New Roman" w:hAnsi="Times New Roman" w:cs="Times New Roman"/>
          <w:sz w:val="23"/>
          <w:szCs w:val="23"/>
        </w:rPr>
      </w:pPr>
    </w:p>
    <w:p w14:paraId="2A5ECDA8" w14:textId="3BFAF479" w:rsidR="0086387E" w:rsidRPr="00FC346C" w:rsidRDefault="0086387E" w:rsidP="00352DD7">
      <w:pPr>
        <w:pStyle w:val="ListParagraph"/>
        <w:numPr>
          <w:ilvl w:val="0"/>
          <w:numId w:val="1"/>
        </w:numPr>
        <w:spacing w:after="0" w:line="360" w:lineRule="auto"/>
        <w:ind w:left="426" w:hanging="426"/>
        <w:jc w:val="both"/>
        <w:rPr>
          <w:rFonts w:ascii="Times New Roman" w:hAnsi="Times New Roman" w:cs="Times New Roman"/>
          <w:sz w:val="23"/>
          <w:szCs w:val="23"/>
        </w:rPr>
      </w:pPr>
      <w:r w:rsidRPr="00FC346C">
        <w:rPr>
          <w:rFonts w:ascii="Times New Roman" w:hAnsi="Times New Roman" w:cs="Times New Roman"/>
          <w:sz w:val="23"/>
          <w:szCs w:val="23"/>
        </w:rPr>
        <w:t>Some example</w:t>
      </w:r>
      <w:r w:rsidR="00BE39D7" w:rsidRPr="00FC346C">
        <w:rPr>
          <w:rFonts w:ascii="Times New Roman" w:hAnsi="Times New Roman" w:cs="Times New Roman"/>
          <w:sz w:val="23"/>
          <w:szCs w:val="23"/>
        </w:rPr>
        <w:t>s</w:t>
      </w:r>
      <w:r w:rsidRPr="00FC346C">
        <w:rPr>
          <w:rFonts w:ascii="Times New Roman" w:hAnsi="Times New Roman" w:cs="Times New Roman"/>
          <w:sz w:val="23"/>
          <w:szCs w:val="23"/>
        </w:rPr>
        <w:t xml:space="preserve"> </w:t>
      </w:r>
      <w:r w:rsidR="00BE39D7" w:rsidRPr="00FC346C">
        <w:rPr>
          <w:rFonts w:ascii="Times New Roman" w:hAnsi="Times New Roman" w:cs="Times New Roman"/>
          <w:sz w:val="23"/>
          <w:szCs w:val="23"/>
        </w:rPr>
        <w:t xml:space="preserve">are </w:t>
      </w:r>
      <w:r w:rsidRPr="00FC346C">
        <w:rPr>
          <w:rFonts w:ascii="Times New Roman" w:hAnsi="Times New Roman" w:cs="Times New Roman"/>
          <w:sz w:val="23"/>
          <w:szCs w:val="23"/>
        </w:rPr>
        <w:t>being highlighted below for reference:</w:t>
      </w:r>
    </w:p>
    <w:p w14:paraId="5595B950" w14:textId="77777777" w:rsidR="00BE39D7" w:rsidRPr="00FC346C" w:rsidRDefault="00BE39D7" w:rsidP="00352DD7">
      <w:pPr>
        <w:pStyle w:val="ListParagraph"/>
        <w:spacing w:after="0" w:line="360" w:lineRule="auto"/>
        <w:ind w:left="786"/>
        <w:jc w:val="both"/>
        <w:rPr>
          <w:rFonts w:ascii="Times New Roman" w:hAnsi="Times New Roman" w:cs="Times New Roman"/>
          <w:sz w:val="23"/>
          <w:szCs w:val="23"/>
        </w:rPr>
      </w:pPr>
    </w:p>
    <w:p w14:paraId="12046353" w14:textId="0103C52B" w:rsidR="0086387E" w:rsidRPr="00FC346C" w:rsidRDefault="0086387E" w:rsidP="00352DD7">
      <w:pPr>
        <w:pStyle w:val="ListParagraph"/>
        <w:numPr>
          <w:ilvl w:val="1"/>
          <w:numId w:val="1"/>
        </w:numPr>
        <w:spacing w:after="0" w:line="360" w:lineRule="auto"/>
        <w:jc w:val="both"/>
        <w:rPr>
          <w:rFonts w:ascii="Times New Roman" w:hAnsi="Times New Roman" w:cs="Times New Roman"/>
          <w:sz w:val="23"/>
          <w:szCs w:val="23"/>
        </w:rPr>
      </w:pPr>
      <w:r w:rsidRPr="00FC346C">
        <w:rPr>
          <w:rFonts w:ascii="Times New Roman" w:hAnsi="Times New Roman" w:cs="Times New Roman"/>
          <w:b/>
          <w:bCs/>
          <w:sz w:val="23"/>
          <w:szCs w:val="23"/>
        </w:rPr>
        <w:t xml:space="preserve">Biswanath - </w:t>
      </w:r>
      <w:proofErr w:type="spellStart"/>
      <w:r w:rsidRPr="00FC346C">
        <w:rPr>
          <w:rFonts w:ascii="Times New Roman" w:hAnsi="Times New Roman" w:cs="Times New Roman"/>
          <w:b/>
          <w:bCs/>
          <w:sz w:val="23"/>
          <w:szCs w:val="23"/>
        </w:rPr>
        <w:t>Chariali</w:t>
      </w:r>
      <w:proofErr w:type="spellEnd"/>
      <w:r w:rsidRPr="00FC346C">
        <w:rPr>
          <w:rFonts w:ascii="Times New Roman" w:hAnsi="Times New Roman" w:cs="Times New Roman"/>
          <w:b/>
          <w:bCs/>
          <w:sz w:val="23"/>
          <w:szCs w:val="23"/>
        </w:rPr>
        <w:t xml:space="preserve"> HVDC-</w:t>
      </w:r>
      <w:r w:rsidRPr="00FC346C">
        <w:rPr>
          <w:rFonts w:ascii="Times New Roman" w:hAnsi="Times New Roman" w:cs="Times New Roman"/>
          <w:sz w:val="23"/>
          <w:szCs w:val="23"/>
        </w:rPr>
        <w:t xml:space="preserve"> The given scheme was planned to evacuate power from </w:t>
      </w:r>
      <w:r w:rsidR="00644A6A" w:rsidRPr="00FC346C">
        <w:rPr>
          <w:rFonts w:ascii="Times New Roman" w:hAnsi="Times New Roman" w:cs="Times New Roman"/>
          <w:sz w:val="23"/>
          <w:szCs w:val="23"/>
        </w:rPr>
        <w:t>the e</w:t>
      </w:r>
      <w:r w:rsidRPr="00FC346C">
        <w:rPr>
          <w:rFonts w:ascii="Times New Roman" w:hAnsi="Times New Roman" w:cs="Times New Roman"/>
          <w:sz w:val="23"/>
          <w:szCs w:val="23"/>
        </w:rPr>
        <w:t xml:space="preserve">astern and </w:t>
      </w:r>
      <w:r w:rsidR="00644A6A" w:rsidRPr="00FC346C">
        <w:rPr>
          <w:rFonts w:ascii="Times New Roman" w:hAnsi="Times New Roman" w:cs="Times New Roman"/>
          <w:sz w:val="23"/>
          <w:szCs w:val="23"/>
        </w:rPr>
        <w:t xml:space="preserve">the </w:t>
      </w:r>
      <w:r w:rsidRPr="00FC346C">
        <w:rPr>
          <w:rFonts w:ascii="Times New Roman" w:hAnsi="Times New Roman" w:cs="Times New Roman"/>
          <w:sz w:val="23"/>
          <w:szCs w:val="23"/>
        </w:rPr>
        <w:t>north</w:t>
      </w:r>
      <w:r w:rsidR="00644A6A" w:rsidRPr="00FC346C">
        <w:rPr>
          <w:rFonts w:ascii="Times New Roman" w:hAnsi="Times New Roman" w:cs="Times New Roman"/>
          <w:sz w:val="23"/>
          <w:szCs w:val="23"/>
        </w:rPr>
        <w:t>-</w:t>
      </w:r>
      <w:r w:rsidRPr="00FC346C">
        <w:rPr>
          <w:rFonts w:ascii="Times New Roman" w:hAnsi="Times New Roman" w:cs="Times New Roman"/>
          <w:sz w:val="23"/>
          <w:szCs w:val="23"/>
        </w:rPr>
        <w:t>eastern region</w:t>
      </w:r>
      <w:r w:rsidR="00644A6A" w:rsidRPr="00FC346C">
        <w:rPr>
          <w:rFonts w:ascii="Times New Roman" w:hAnsi="Times New Roman" w:cs="Times New Roman"/>
          <w:sz w:val="23"/>
          <w:szCs w:val="23"/>
        </w:rPr>
        <w:t>s</w:t>
      </w:r>
      <w:r w:rsidRPr="00FC346C">
        <w:rPr>
          <w:rFonts w:ascii="Times New Roman" w:hAnsi="Times New Roman" w:cs="Times New Roman"/>
          <w:sz w:val="23"/>
          <w:szCs w:val="23"/>
        </w:rPr>
        <w:t xml:space="preserve"> to </w:t>
      </w:r>
      <w:r w:rsidR="00644A6A" w:rsidRPr="00FC346C">
        <w:rPr>
          <w:rFonts w:ascii="Times New Roman" w:hAnsi="Times New Roman" w:cs="Times New Roman"/>
          <w:sz w:val="23"/>
          <w:szCs w:val="23"/>
        </w:rPr>
        <w:t>the n</w:t>
      </w:r>
      <w:r w:rsidRPr="00FC346C">
        <w:rPr>
          <w:rFonts w:ascii="Times New Roman" w:hAnsi="Times New Roman" w:cs="Times New Roman"/>
          <w:sz w:val="23"/>
          <w:szCs w:val="23"/>
        </w:rPr>
        <w:t xml:space="preserve">orthern and </w:t>
      </w:r>
      <w:r w:rsidR="00BE39D7" w:rsidRPr="00FC346C">
        <w:rPr>
          <w:rFonts w:ascii="Times New Roman" w:hAnsi="Times New Roman" w:cs="Times New Roman"/>
          <w:sz w:val="23"/>
          <w:szCs w:val="23"/>
        </w:rPr>
        <w:t xml:space="preserve">the </w:t>
      </w:r>
      <w:r w:rsidRPr="00FC346C">
        <w:rPr>
          <w:rFonts w:ascii="Times New Roman" w:hAnsi="Times New Roman" w:cs="Times New Roman"/>
          <w:sz w:val="23"/>
          <w:szCs w:val="23"/>
        </w:rPr>
        <w:t>western region</w:t>
      </w:r>
      <w:r w:rsidR="00644A6A" w:rsidRPr="00FC346C">
        <w:rPr>
          <w:rFonts w:ascii="Times New Roman" w:hAnsi="Times New Roman" w:cs="Times New Roman"/>
          <w:sz w:val="23"/>
          <w:szCs w:val="23"/>
        </w:rPr>
        <w:t>s</w:t>
      </w:r>
      <w:r w:rsidRPr="00FC346C">
        <w:rPr>
          <w:rFonts w:ascii="Times New Roman" w:hAnsi="Times New Roman" w:cs="Times New Roman"/>
          <w:sz w:val="23"/>
          <w:szCs w:val="23"/>
        </w:rPr>
        <w:t xml:space="preserve">. It had a time overrun of 62 months which got condoned by </w:t>
      </w:r>
      <w:r w:rsidR="00C93BD5" w:rsidRPr="00FC346C">
        <w:rPr>
          <w:rFonts w:ascii="Times New Roman" w:hAnsi="Times New Roman" w:cs="Times New Roman"/>
          <w:sz w:val="23"/>
          <w:szCs w:val="23"/>
        </w:rPr>
        <w:t>this Hon’ble Commission</w:t>
      </w:r>
      <w:r w:rsidRPr="00FC346C">
        <w:rPr>
          <w:rFonts w:ascii="Times New Roman" w:hAnsi="Times New Roman" w:cs="Times New Roman"/>
          <w:sz w:val="23"/>
          <w:szCs w:val="23"/>
        </w:rPr>
        <w:t>.</w:t>
      </w:r>
    </w:p>
    <w:p w14:paraId="1B42958D" w14:textId="77777777" w:rsidR="00BE39D7" w:rsidRPr="00FC346C" w:rsidRDefault="00BE39D7" w:rsidP="00352DD7">
      <w:pPr>
        <w:pStyle w:val="ListParagraph"/>
        <w:spacing w:after="0" w:line="360" w:lineRule="auto"/>
        <w:ind w:left="786"/>
        <w:jc w:val="both"/>
        <w:rPr>
          <w:rFonts w:ascii="Times New Roman" w:hAnsi="Times New Roman" w:cs="Times New Roman"/>
          <w:sz w:val="23"/>
          <w:szCs w:val="23"/>
        </w:rPr>
      </w:pPr>
    </w:p>
    <w:p w14:paraId="7159FD9E" w14:textId="039E733F" w:rsidR="0086387E" w:rsidRDefault="0086387E" w:rsidP="00352DD7">
      <w:pPr>
        <w:pStyle w:val="ListParagraph"/>
        <w:numPr>
          <w:ilvl w:val="1"/>
          <w:numId w:val="1"/>
        </w:numPr>
        <w:spacing w:after="0" w:line="360" w:lineRule="auto"/>
        <w:jc w:val="both"/>
        <w:rPr>
          <w:rFonts w:ascii="Times New Roman" w:hAnsi="Times New Roman" w:cs="Times New Roman"/>
          <w:sz w:val="23"/>
          <w:szCs w:val="23"/>
        </w:rPr>
      </w:pPr>
      <w:r w:rsidRPr="00FC346C">
        <w:rPr>
          <w:rFonts w:ascii="Times New Roman" w:hAnsi="Times New Roman" w:cs="Times New Roman"/>
          <w:b/>
          <w:bCs/>
          <w:sz w:val="23"/>
          <w:szCs w:val="23"/>
        </w:rPr>
        <w:t xml:space="preserve">Raigarh - </w:t>
      </w:r>
      <w:proofErr w:type="spellStart"/>
      <w:r w:rsidRPr="00FC346C">
        <w:rPr>
          <w:rFonts w:ascii="Times New Roman" w:hAnsi="Times New Roman" w:cs="Times New Roman"/>
          <w:b/>
          <w:bCs/>
          <w:sz w:val="23"/>
          <w:szCs w:val="23"/>
        </w:rPr>
        <w:t>Pugular</w:t>
      </w:r>
      <w:proofErr w:type="spellEnd"/>
      <w:r w:rsidRPr="00FC346C">
        <w:rPr>
          <w:rFonts w:ascii="Times New Roman" w:hAnsi="Times New Roman" w:cs="Times New Roman"/>
          <w:b/>
          <w:bCs/>
          <w:sz w:val="23"/>
          <w:szCs w:val="23"/>
        </w:rPr>
        <w:t xml:space="preserve"> HVDC- </w:t>
      </w:r>
      <w:r w:rsidRPr="00FC346C">
        <w:rPr>
          <w:rFonts w:ascii="Times New Roman" w:hAnsi="Times New Roman" w:cs="Times New Roman"/>
          <w:sz w:val="23"/>
          <w:szCs w:val="23"/>
        </w:rPr>
        <w:t xml:space="preserve"> To facilitate import of power into southern region through 800 </w:t>
      </w:r>
      <w:r w:rsidR="00414483" w:rsidRPr="00FC346C">
        <w:rPr>
          <w:rFonts w:ascii="Times New Roman" w:hAnsi="Times New Roman" w:cs="Times New Roman"/>
          <w:sz w:val="23"/>
          <w:szCs w:val="23"/>
        </w:rPr>
        <w:t>k</w:t>
      </w:r>
      <w:r w:rsidRPr="00FC346C">
        <w:rPr>
          <w:rFonts w:ascii="Times New Roman" w:hAnsi="Times New Roman" w:cs="Times New Roman"/>
          <w:sz w:val="23"/>
          <w:szCs w:val="23"/>
        </w:rPr>
        <w:t xml:space="preserve">V &amp; 400 </w:t>
      </w:r>
      <w:r w:rsidR="00414483" w:rsidRPr="00FC346C">
        <w:rPr>
          <w:rFonts w:ascii="Times New Roman" w:hAnsi="Times New Roman" w:cs="Times New Roman"/>
          <w:sz w:val="23"/>
          <w:szCs w:val="23"/>
        </w:rPr>
        <w:t>k</w:t>
      </w:r>
      <w:r w:rsidRPr="00FC346C">
        <w:rPr>
          <w:rFonts w:ascii="Times New Roman" w:hAnsi="Times New Roman" w:cs="Times New Roman"/>
          <w:sz w:val="23"/>
          <w:szCs w:val="23"/>
        </w:rPr>
        <w:t>V HVDC system, the scheme was proposed. The given scheme took 75 months</w:t>
      </w:r>
      <w:r w:rsidR="006C4A6B" w:rsidRPr="00FC346C">
        <w:rPr>
          <w:rFonts w:ascii="Times New Roman" w:hAnsi="Times New Roman" w:cs="Times New Roman"/>
          <w:sz w:val="23"/>
          <w:szCs w:val="23"/>
        </w:rPr>
        <w:t>,</w:t>
      </w:r>
      <w:r w:rsidRPr="00FC346C">
        <w:rPr>
          <w:rFonts w:ascii="Times New Roman" w:hAnsi="Times New Roman" w:cs="Times New Roman"/>
          <w:sz w:val="23"/>
          <w:szCs w:val="23"/>
        </w:rPr>
        <w:t xml:space="preserve"> i.e</w:t>
      </w:r>
      <w:r w:rsidR="006C4A6B" w:rsidRPr="00FC346C">
        <w:rPr>
          <w:rFonts w:ascii="Times New Roman" w:hAnsi="Times New Roman" w:cs="Times New Roman"/>
          <w:sz w:val="23"/>
          <w:szCs w:val="23"/>
        </w:rPr>
        <w:t>.,</w:t>
      </w:r>
      <w:r w:rsidRPr="00FC346C">
        <w:rPr>
          <w:rFonts w:ascii="Times New Roman" w:hAnsi="Times New Roman" w:cs="Times New Roman"/>
          <w:sz w:val="23"/>
          <w:szCs w:val="23"/>
        </w:rPr>
        <w:t xml:space="preserve"> 6.25 years from the 34</w:t>
      </w:r>
      <w:r w:rsidRPr="00FC346C">
        <w:rPr>
          <w:rFonts w:ascii="Times New Roman" w:hAnsi="Times New Roman" w:cs="Times New Roman"/>
          <w:sz w:val="23"/>
          <w:szCs w:val="23"/>
          <w:vertAlign w:val="superscript"/>
        </w:rPr>
        <w:t>th</w:t>
      </w:r>
      <w:r w:rsidR="006C4A6B" w:rsidRPr="00FC346C">
        <w:rPr>
          <w:rFonts w:ascii="Times New Roman" w:hAnsi="Times New Roman" w:cs="Times New Roman"/>
          <w:sz w:val="23"/>
          <w:szCs w:val="23"/>
        </w:rPr>
        <w:t xml:space="preserve"> E</w:t>
      </w:r>
      <w:r w:rsidRPr="00FC346C">
        <w:rPr>
          <w:rFonts w:ascii="Times New Roman" w:hAnsi="Times New Roman" w:cs="Times New Roman"/>
          <w:sz w:val="23"/>
          <w:szCs w:val="23"/>
        </w:rPr>
        <w:t xml:space="preserve">mpowered </w:t>
      </w:r>
      <w:r w:rsidR="006C4A6B" w:rsidRPr="00FC346C">
        <w:rPr>
          <w:rFonts w:ascii="Times New Roman" w:hAnsi="Times New Roman" w:cs="Times New Roman"/>
          <w:sz w:val="23"/>
          <w:szCs w:val="23"/>
        </w:rPr>
        <w:t>C</w:t>
      </w:r>
      <w:r w:rsidRPr="00FC346C">
        <w:rPr>
          <w:rFonts w:ascii="Times New Roman" w:hAnsi="Times New Roman" w:cs="Times New Roman"/>
          <w:sz w:val="23"/>
          <w:szCs w:val="23"/>
        </w:rPr>
        <w:t xml:space="preserve">ommittee to get commissioned. The cost of scheme increased from </w:t>
      </w:r>
      <w:r w:rsidR="006C4A6B" w:rsidRPr="00FC346C">
        <w:rPr>
          <w:rFonts w:ascii="Times New Roman" w:hAnsi="Times New Roman" w:cs="Times New Roman"/>
          <w:sz w:val="23"/>
          <w:szCs w:val="23"/>
        </w:rPr>
        <w:t xml:space="preserve">INR </w:t>
      </w:r>
      <w:r w:rsidRPr="00FC346C">
        <w:rPr>
          <w:rFonts w:ascii="Times New Roman" w:hAnsi="Times New Roman" w:cs="Times New Roman"/>
          <w:sz w:val="23"/>
          <w:szCs w:val="23"/>
        </w:rPr>
        <w:t xml:space="preserve">19,681 </w:t>
      </w:r>
      <w:r w:rsidR="006C4A6B" w:rsidRPr="00FC346C">
        <w:rPr>
          <w:rFonts w:ascii="Times New Roman" w:hAnsi="Times New Roman" w:cs="Times New Roman"/>
          <w:sz w:val="23"/>
          <w:szCs w:val="23"/>
        </w:rPr>
        <w:t>C</w:t>
      </w:r>
      <w:r w:rsidRPr="00FC346C">
        <w:rPr>
          <w:rFonts w:ascii="Times New Roman" w:hAnsi="Times New Roman" w:cs="Times New Roman"/>
          <w:sz w:val="23"/>
          <w:szCs w:val="23"/>
        </w:rPr>
        <w:t xml:space="preserve">rore to </w:t>
      </w:r>
      <w:r w:rsidR="006C4A6B" w:rsidRPr="00FC346C">
        <w:rPr>
          <w:rFonts w:ascii="Times New Roman" w:hAnsi="Times New Roman" w:cs="Times New Roman"/>
          <w:sz w:val="23"/>
          <w:szCs w:val="23"/>
        </w:rPr>
        <w:t>INR</w:t>
      </w:r>
      <w:r w:rsidRPr="00FC346C">
        <w:rPr>
          <w:rFonts w:ascii="Times New Roman" w:hAnsi="Times New Roman" w:cs="Times New Roman"/>
          <w:sz w:val="23"/>
          <w:szCs w:val="23"/>
        </w:rPr>
        <w:t xml:space="preserve"> 21,792 </w:t>
      </w:r>
      <w:r w:rsidR="006C4A6B" w:rsidRPr="00FC346C">
        <w:rPr>
          <w:rFonts w:ascii="Times New Roman" w:hAnsi="Times New Roman" w:cs="Times New Roman"/>
          <w:sz w:val="23"/>
          <w:szCs w:val="23"/>
        </w:rPr>
        <w:t>C</w:t>
      </w:r>
      <w:r w:rsidRPr="00FC346C">
        <w:rPr>
          <w:rFonts w:ascii="Times New Roman" w:hAnsi="Times New Roman" w:cs="Times New Roman"/>
          <w:sz w:val="23"/>
          <w:szCs w:val="23"/>
        </w:rPr>
        <w:t xml:space="preserve">rore leading to an overall increase of </w:t>
      </w:r>
      <w:r w:rsidR="006C4A6B" w:rsidRPr="00FC346C">
        <w:rPr>
          <w:rFonts w:ascii="Times New Roman" w:hAnsi="Times New Roman" w:cs="Times New Roman"/>
          <w:sz w:val="23"/>
          <w:szCs w:val="23"/>
        </w:rPr>
        <w:t>INR</w:t>
      </w:r>
      <w:r w:rsidRPr="00FC346C">
        <w:rPr>
          <w:rFonts w:ascii="Times New Roman" w:hAnsi="Times New Roman" w:cs="Times New Roman"/>
          <w:sz w:val="23"/>
          <w:szCs w:val="23"/>
        </w:rPr>
        <w:t xml:space="preserve"> 1,931 </w:t>
      </w:r>
      <w:r w:rsidR="006C4A6B" w:rsidRPr="00FC346C">
        <w:rPr>
          <w:rFonts w:ascii="Times New Roman" w:hAnsi="Times New Roman" w:cs="Times New Roman"/>
          <w:sz w:val="23"/>
          <w:szCs w:val="23"/>
        </w:rPr>
        <w:t>C</w:t>
      </w:r>
      <w:r w:rsidRPr="00FC346C">
        <w:rPr>
          <w:rFonts w:ascii="Times New Roman" w:hAnsi="Times New Roman" w:cs="Times New Roman"/>
          <w:sz w:val="23"/>
          <w:szCs w:val="23"/>
        </w:rPr>
        <w:t>rore.</w:t>
      </w:r>
    </w:p>
    <w:p w14:paraId="095B6222" w14:textId="77777777" w:rsidR="009A3C25" w:rsidRPr="009A3C25" w:rsidRDefault="009A3C25" w:rsidP="009A3C25">
      <w:pPr>
        <w:pStyle w:val="ListParagraph"/>
        <w:rPr>
          <w:rFonts w:ascii="Times New Roman" w:hAnsi="Times New Roman" w:cs="Times New Roman"/>
          <w:sz w:val="23"/>
          <w:szCs w:val="23"/>
        </w:rPr>
      </w:pPr>
    </w:p>
    <w:p w14:paraId="342255AB" w14:textId="76E7D31C" w:rsidR="00E06F30" w:rsidRPr="00E06F30" w:rsidRDefault="00E06F30" w:rsidP="00E06F30">
      <w:pPr>
        <w:pStyle w:val="ListParagraph"/>
        <w:numPr>
          <w:ilvl w:val="1"/>
          <w:numId w:val="1"/>
        </w:numPr>
        <w:spacing w:after="0" w:line="360" w:lineRule="auto"/>
        <w:jc w:val="both"/>
        <w:rPr>
          <w:rFonts w:ascii="Times New Roman" w:hAnsi="Times New Roman" w:cs="Times New Roman"/>
          <w:b/>
          <w:bCs/>
          <w:sz w:val="23"/>
          <w:szCs w:val="23"/>
        </w:rPr>
      </w:pPr>
      <w:r w:rsidRPr="00E06F30">
        <w:rPr>
          <w:rFonts w:ascii="Times New Roman" w:hAnsi="Times New Roman" w:cs="Times New Roman"/>
          <w:b/>
          <w:bCs/>
          <w:sz w:val="23"/>
          <w:szCs w:val="23"/>
        </w:rPr>
        <w:t>System Strengthening-XIV in</w:t>
      </w:r>
      <w:r w:rsidRPr="00E06F30">
        <w:rPr>
          <w:rFonts w:ascii="Times New Roman" w:hAnsi="Times New Roman" w:cs="Times New Roman"/>
          <w:b/>
          <w:bCs/>
          <w:sz w:val="23"/>
          <w:szCs w:val="23"/>
        </w:rPr>
        <w:t xml:space="preserve"> </w:t>
      </w:r>
      <w:r w:rsidRPr="00E06F30">
        <w:rPr>
          <w:rFonts w:ascii="Times New Roman" w:hAnsi="Times New Roman" w:cs="Times New Roman"/>
          <w:b/>
          <w:bCs/>
          <w:sz w:val="23"/>
          <w:szCs w:val="23"/>
        </w:rPr>
        <w:t>Southern Region</w:t>
      </w:r>
      <w:r w:rsidRPr="00E06F30">
        <w:rPr>
          <w:rFonts w:ascii="Times New Roman" w:hAnsi="Times New Roman" w:cs="Times New Roman"/>
          <w:b/>
          <w:bCs/>
          <w:sz w:val="23"/>
          <w:szCs w:val="23"/>
        </w:rPr>
        <w:t>:</w:t>
      </w:r>
      <w:r>
        <w:rPr>
          <w:rFonts w:ascii="Times New Roman" w:hAnsi="Times New Roman" w:cs="Times New Roman"/>
          <w:b/>
          <w:bCs/>
          <w:sz w:val="23"/>
          <w:szCs w:val="23"/>
        </w:rPr>
        <w:t xml:space="preserve"> </w:t>
      </w:r>
      <w:r>
        <w:rPr>
          <w:rFonts w:ascii="Times New Roman" w:hAnsi="Times New Roman" w:cs="Times New Roman"/>
          <w:sz w:val="23"/>
          <w:szCs w:val="23"/>
        </w:rPr>
        <w:t xml:space="preserve">There was a delay of ~55 months, which was condoned by this Hon’ble Commission. Further, an IDC of ~INR 102 Crore and an IEDC of ~INR 15 Crore was also allowed by this Hon’ble Commission. </w:t>
      </w:r>
    </w:p>
    <w:p w14:paraId="1E092449" w14:textId="77777777" w:rsidR="00E06F30" w:rsidRPr="00E06F30" w:rsidRDefault="00E06F30" w:rsidP="00E06F30">
      <w:pPr>
        <w:pStyle w:val="ListParagraph"/>
        <w:rPr>
          <w:rFonts w:ascii="Times New Roman" w:hAnsi="Times New Roman" w:cs="Times New Roman"/>
          <w:b/>
          <w:bCs/>
          <w:sz w:val="23"/>
          <w:szCs w:val="23"/>
        </w:rPr>
      </w:pPr>
    </w:p>
    <w:p w14:paraId="7CA34132" w14:textId="1B686C45" w:rsidR="00E06F30" w:rsidRPr="00E06F30" w:rsidRDefault="00E06F30" w:rsidP="00E06F30">
      <w:pPr>
        <w:pStyle w:val="ListParagraph"/>
        <w:numPr>
          <w:ilvl w:val="1"/>
          <w:numId w:val="1"/>
        </w:numPr>
        <w:spacing w:after="0" w:line="360" w:lineRule="auto"/>
        <w:jc w:val="both"/>
        <w:rPr>
          <w:rFonts w:ascii="Times New Roman" w:hAnsi="Times New Roman" w:cs="Times New Roman"/>
          <w:b/>
          <w:bCs/>
          <w:sz w:val="23"/>
          <w:szCs w:val="23"/>
        </w:rPr>
      </w:pPr>
      <w:r w:rsidRPr="00FC346C">
        <w:rPr>
          <w:rFonts w:ascii="Times New Roman" w:hAnsi="Times New Roman" w:cs="Times New Roman"/>
          <w:b/>
          <w:bCs/>
          <w:sz w:val="23"/>
          <w:szCs w:val="23"/>
        </w:rPr>
        <w:t>Champa- Kurukshetra HVDC</w:t>
      </w:r>
      <w:r w:rsidRPr="00FC346C">
        <w:rPr>
          <w:rFonts w:ascii="Times New Roman" w:hAnsi="Times New Roman" w:cs="Times New Roman"/>
          <w:sz w:val="23"/>
          <w:szCs w:val="23"/>
        </w:rPr>
        <w:t>- The delay in Champa Kurukshetra HVDC scheme was ranged from 0 to 27 months, wherein the average delay was 17 months</w:t>
      </w:r>
      <w:r w:rsidR="00620433">
        <w:rPr>
          <w:rFonts w:ascii="Times New Roman" w:hAnsi="Times New Roman" w:cs="Times New Roman"/>
          <w:sz w:val="23"/>
          <w:szCs w:val="23"/>
        </w:rPr>
        <w:t xml:space="preserve"> per element</w:t>
      </w:r>
      <w:r w:rsidRPr="00FC346C">
        <w:rPr>
          <w:rFonts w:ascii="Times New Roman" w:hAnsi="Times New Roman" w:cs="Times New Roman"/>
          <w:sz w:val="23"/>
          <w:szCs w:val="23"/>
        </w:rPr>
        <w:t>. Out of the total time overrun of 27 months, 24 months got condoned by this Hon’ble Commission.</w:t>
      </w:r>
    </w:p>
    <w:p w14:paraId="60F13FE0" w14:textId="77777777" w:rsidR="00E06F30" w:rsidRDefault="00E06F30" w:rsidP="00352DD7">
      <w:pPr>
        <w:pStyle w:val="ListParagraph"/>
        <w:spacing w:after="0" w:line="360" w:lineRule="auto"/>
        <w:ind w:left="426"/>
        <w:jc w:val="both"/>
        <w:rPr>
          <w:rFonts w:ascii="Times New Roman" w:hAnsi="Times New Roman" w:cs="Times New Roman"/>
          <w:sz w:val="23"/>
          <w:szCs w:val="23"/>
        </w:rPr>
      </w:pPr>
    </w:p>
    <w:p w14:paraId="66DF20B4" w14:textId="77777777" w:rsidR="00E06F30" w:rsidRDefault="00E06F30" w:rsidP="00E06F30">
      <w:pPr>
        <w:pStyle w:val="ListParagraph"/>
        <w:numPr>
          <w:ilvl w:val="1"/>
          <w:numId w:val="1"/>
        </w:numPr>
        <w:spacing w:after="0" w:line="360" w:lineRule="auto"/>
        <w:jc w:val="both"/>
        <w:rPr>
          <w:rFonts w:ascii="Times New Roman" w:hAnsi="Times New Roman" w:cs="Times New Roman"/>
          <w:sz w:val="23"/>
          <w:szCs w:val="23"/>
        </w:rPr>
      </w:pPr>
      <w:r w:rsidRPr="00482572">
        <w:rPr>
          <w:rFonts w:ascii="Times New Roman" w:hAnsi="Times New Roman" w:cs="Times New Roman"/>
          <w:b/>
          <w:bCs/>
          <w:sz w:val="23"/>
          <w:szCs w:val="23"/>
        </w:rPr>
        <w:t>Ultra Mega Solar Power Park at Tumkur (</w:t>
      </w:r>
      <w:proofErr w:type="spellStart"/>
      <w:r w:rsidRPr="00482572">
        <w:rPr>
          <w:rFonts w:ascii="Times New Roman" w:hAnsi="Times New Roman" w:cs="Times New Roman"/>
          <w:b/>
          <w:bCs/>
          <w:sz w:val="23"/>
          <w:szCs w:val="23"/>
        </w:rPr>
        <w:t>Pavagada</w:t>
      </w:r>
      <w:proofErr w:type="spellEnd"/>
      <w:r w:rsidRPr="00482572">
        <w:rPr>
          <w:rFonts w:ascii="Times New Roman" w:hAnsi="Times New Roman" w:cs="Times New Roman"/>
          <w:b/>
          <w:bCs/>
          <w:sz w:val="23"/>
          <w:szCs w:val="23"/>
        </w:rPr>
        <w:t>), Karnataka - Phase II (Part A)</w:t>
      </w:r>
      <w:r w:rsidRPr="00A50EB5">
        <w:rPr>
          <w:rFonts w:ascii="Times New Roman" w:hAnsi="Times New Roman" w:cs="Times New Roman"/>
          <w:b/>
          <w:bCs/>
          <w:sz w:val="23"/>
          <w:szCs w:val="23"/>
        </w:rPr>
        <w:t>-</w:t>
      </w:r>
      <w:r>
        <w:rPr>
          <w:rFonts w:ascii="Times New Roman" w:hAnsi="Times New Roman" w:cs="Times New Roman"/>
          <w:sz w:val="23"/>
          <w:szCs w:val="23"/>
        </w:rPr>
        <w:t xml:space="preserve"> There was a delay of ~17.5 months, which was condoned by this Hon’ble Commission. Resultantly, a cost escalation of ~INR 93 Crore was also granted by this Hon’ble Commission.    </w:t>
      </w:r>
    </w:p>
    <w:p w14:paraId="4FD87654" w14:textId="77777777" w:rsidR="00E06F30" w:rsidRDefault="00E06F30" w:rsidP="00352DD7">
      <w:pPr>
        <w:pStyle w:val="ListParagraph"/>
        <w:spacing w:after="0" w:line="360" w:lineRule="auto"/>
        <w:ind w:left="426"/>
        <w:jc w:val="both"/>
        <w:rPr>
          <w:rFonts w:ascii="Times New Roman" w:hAnsi="Times New Roman" w:cs="Times New Roman"/>
          <w:sz w:val="23"/>
          <w:szCs w:val="23"/>
        </w:rPr>
      </w:pPr>
    </w:p>
    <w:p w14:paraId="246395B4" w14:textId="048FC15B" w:rsidR="0086387E" w:rsidRPr="00FC346C" w:rsidRDefault="0086387E" w:rsidP="00352DD7">
      <w:pPr>
        <w:pStyle w:val="ListParagraph"/>
        <w:numPr>
          <w:ilvl w:val="0"/>
          <w:numId w:val="1"/>
        </w:numPr>
        <w:spacing w:after="0" w:line="360" w:lineRule="auto"/>
        <w:ind w:left="426" w:hanging="426"/>
        <w:jc w:val="both"/>
        <w:rPr>
          <w:rFonts w:ascii="Times New Roman" w:hAnsi="Times New Roman" w:cs="Times New Roman"/>
          <w:sz w:val="23"/>
          <w:szCs w:val="23"/>
        </w:rPr>
      </w:pPr>
      <w:r w:rsidRPr="00FC346C">
        <w:rPr>
          <w:rFonts w:ascii="Times New Roman" w:hAnsi="Times New Roman" w:cs="Times New Roman"/>
          <w:sz w:val="23"/>
          <w:szCs w:val="23"/>
        </w:rPr>
        <w:t xml:space="preserve">Further, </w:t>
      </w:r>
      <w:proofErr w:type="gramStart"/>
      <w:r w:rsidRPr="00FC346C">
        <w:rPr>
          <w:rFonts w:ascii="Times New Roman" w:hAnsi="Times New Roman" w:cs="Times New Roman"/>
          <w:sz w:val="23"/>
          <w:szCs w:val="23"/>
        </w:rPr>
        <w:t>it can be seen that the</w:t>
      </w:r>
      <w:proofErr w:type="gramEnd"/>
      <w:r w:rsidRPr="00FC346C">
        <w:rPr>
          <w:rFonts w:ascii="Times New Roman" w:hAnsi="Times New Roman" w:cs="Times New Roman"/>
          <w:sz w:val="23"/>
          <w:szCs w:val="23"/>
        </w:rPr>
        <w:t xml:space="preserve"> time over-run of transmission projects under R</w:t>
      </w:r>
      <w:r w:rsidR="006C4A6B" w:rsidRPr="00FC346C">
        <w:rPr>
          <w:rFonts w:ascii="Times New Roman" w:hAnsi="Times New Roman" w:cs="Times New Roman"/>
          <w:sz w:val="23"/>
          <w:szCs w:val="23"/>
        </w:rPr>
        <w:t>TM</w:t>
      </w:r>
      <w:r w:rsidRPr="00FC346C">
        <w:rPr>
          <w:rFonts w:ascii="Times New Roman" w:hAnsi="Times New Roman" w:cs="Times New Roman"/>
          <w:sz w:val="23"/>
          <w:szCs w:val="23"/>
        </w:rPr>
        <w:t xml:space="preserve"> are higher than the time over-run of transmission projects under TBCB. This clearly indicates that as capital cost escalation will not be recovered, the developers executing TBCB projects are </w:t>
      </w:r>
      <w:r w:rsidR="000539F4">
        <w:rPr>
          <w:rFonts w:ascii="Times New Roman" w:hAnsi="Times New Roman" w:cs="Times New Roman"/>
          <w:sz w:val="23"/>
          <w:szCs w:val="23"/>
        </w:rPr>
        <w:t>wary</w:t>
      </w:r>
      <w:r w:rsidRPr="00FC346C">
        <w:rPr>
          <w:rFonts w:ascii="Times New Roman" w:hAnsi="Times New Roman" w:cs="Times New Roman"/>
          <w:sz w:val="23"/>
          <w:szCs w:val="23"/>
        </w:rPr>
        <w:t xml:space="preserve"> of the risks of under-recovery and impact on returns on the project. </w:t>
      </w:r>
      <w:r w:rsidR="00E01F6F" w:rsidRPr="00FC346C">
        <w:rPr>
          <w:rFonts w:ascii="Times New Roman" w:hAnsi="Times New Roman" w:cs="Times New Roman"/>
          <w:sz w:val="23"/>
          <w:szCs w:val="23"/>
        </w:rPr>
        <w:t>On the other hand,</w:t>
      </w:r>
      <w:r w:rsidRPr="00FC346C">
        <w:rPr>
          <w:rFonts w:ascii="Times New Roman" w:hAnsi="Times New Roman" w:cs="Times New Roman"/>
          <w:sz w:val="23"/>
          <w:szCs w:val="23"/>
        </w:rPr>
        <w:t xml:space="preserve"> the developers under RTM route are </w:t>
      </w:r>
      <w:r w:rsidR="00C028AF" w:rsidRPr="00FC346C">
        <w:rPr>
          <w:rFonts w:ascii="Times New Roman" w:hAnsi="Times New Roman" w:cs="Times New Roman"/>
          <w:sz w:val="23"/>
          <w:szCs w:val="23"/>
        </w:rPr>
        <w:t>assured</w:t>
      </w:r>
      <w:r w:rsidRPr="00FC346C">
        <w:rPr>
          <w:rFonts w:ascii="Times New Roman" w:hAnsi="Times New Roman" w:cs="Times New Roman"/>
          <w:sz w:val="23"/>
          <w:szCs w:val="23"/>
        </w:rPr>
        <w:t xml:space="preserve"> that majority of the capital cost escalation</w:t>
      </w:r>
      <w:r w:rsidR="00C028AF" w:rsidRPr="00FC346C">
        <w:rPr>
          <w:rFonts w:ascii="Times New Roman" w:hAnsi="Times New Roman" w:cs="Times New Roman"/>
          <w:sz w:val="23"/>
          <w:szCs w:val="23"/>
        </w:rPr>
        <w:t>s</w:t>
      </w:r>
      <w:r w:rsidR="00E356B6" w:rsidRPr="00FC346C">
        <w:rPr>
          <w:rFonts w:ascii="Times New Roman" w:hAnsi="Times New Roman" w:cs="Times New Roman"/>
          <w:sz w:val="23"/>
          <w:szCs w:val="23"/>
        </w:rPr>
        <w:t>, including on account of time overruns,</w:t>
      </w:r>
      <w:r w:rsidRPr="00FC346C">
        <w:rPr>
          <w:rFonts w:ascii="Times New Roman" w:hAnsi="Times New Roman" w:cs="Times New Roman"/>
          <w:sz w:val="23"/>
          <w:szCs w:val="23"/>
        </w:rPr>
        <w:t xml:space="preserve"> will </w:t>
      </w:r>
      <w:r w:rsidR="00E01F6F" w:rsidRPr="00FC346C">
        <w:rPr>
          <w:rFonts w:ascii="Times New Roman" w:hAnsi="Times New Roman" w:cs="Times New Roman"/>
          <w:sz w:val="23"/>
          <w:szCs w:val="23"/>
        </w:rPr>
        <w:t>get</w:t>
      </w:r>
      <w:r w:rsidRPr="00FC346C">
        <w:rPr>
          <w:rFonts w:ascii="Times New Roman" w:hAnsi="Times New Roman" w:cs="Times New Roman"/>
          <w:sz w:val="23"/>
          <w:szCs w:val="23"/>
        </w:rPr>
        <w:t xml:space="preserve"> pass</w:t>
      </w:r>
      <w:r w:rsidR="00E01F6F" w:rsidRPr="00FC346C">
        <w:rPr>
          <w:rFonts w:ascii="Times New Roman" w:hAnsi="Times New Roman" w:cs="Times New Roman"/>
          <w:sz w:val="23"/>
          <w:szCs w:val="23"/>
        </w:rPr>
        <w:t>ed</w:t>
      </w:r>
      <w:r w:rsidRPr="00FC346C">
        <w:rPr>
          <w:rFonts w:ascii="Times New Roman" w:hAnsi="Times New Roman" w:cs="Times New Roman"/>
          <w:sz w:val="23"/>
          <w:szCs w:val="23"/>
        </w:rPr>
        <w:t xml:space="preserve"> through</w:t>
      </w:r>
      <w:r w:rsidR="00E01F6F" w:rsidRPr="00FC346C">
        <w:rPr>
          <w:rFonts w:ascii="Times New Roman" w:hAnsi="Times New Roman" w:cs="Times New Roman"/>
          <w:sz w:val="23"/>
          <w:szCs w:val="23"/>
        </w:rPr>
        <w:t xml:space="preserve"> in </w:t>
      </w:r>
      <w:r w:rsidR="00C028AF" w:rsidRPr="00FC346C">
        <w:rPr>
          <w:rFonts w:ascii="Times New Roman" w:hAnsi="Times New Roman" w:cs="Times New Roman"/>
          <w:sz w:val="23"/>
          <w:szCs w:val="23"/>
        </w:rPr>
        <w:t xml:space="preserve">consumer </w:t>
      </w:r>
      <w:r w:rsidR="00E01F6F" w:rsidRPr="00FC346C">
        <w:rPr>
          <w:rFonts w:ascii="Times New Roman" w:hAnsi="Times New Roman" w:cs="Times New Roman"/>
          <w:sz w:val="23"/>
          <w:szCs w:val="23"/>
        </w:rPr>
        <w:t>tariff</w:t>
      </w:r>
      <w:r w:rsidRPr="00FC346C">
        <w:rPr>
          <w:rFonts w:ascii="Times New Roman" w:hAnsi="Times New Roman" w:cs="Times New Roman"/>
          <w:sz w:val="23"/>
          <w:szCs w:val="23"/>
        </w:rPr>
        <w:t xml:space="preserve"> </w:t>
      </w:r>
      <w:r w:rsidR="00E01F6F" w:rsidRPr="00FC346C">
        <w:rPr>
          <w:rFonts w:ascii="Times New Roman" w:hAnsi="Times New Roman" w:cs="Times New Roman"/>
          <w:sz w:val="23"/>
          <w:szCs w:val="23"/>
        </w:rPr>
        <w:t>along with the</w:t>
      </w:r>
      <w:r w:rsidR="0075564D" w:rsidRPr="00FC346C">
        <w:rPr>
          <w:rFonts w:ascii="Times New Roman" w:hAnsi="Times New Roman" w:cs="Times New Roman"/>
          <w:sz w:val="23"/>
          <w:szCs w:val="23"/>
        </w:rPr>
        <w:t>m</w:t>
      </w:r>
      <w:r w:rsidR="00E01F6F" w:rsidRPr="00FC346C">
        <w:rPr>
          <w:rFonts w:ascii="Times New Roman" w:hAnsi="Times New Roman" w:cs="Times New Roman"/>
          <w:sz w:val="23"/>
          <w:szCs w:val="23"/>
        </w:rPr>
        <w:t xml:space="preserve"> </w:t>
      </w:r>
      <w:r w:rsidR="0075564D" w:rsidRPr="00FC346C">
        <w:rPr>
          <w:rFonts w:ascii="Times New Roman" w:hAnsi="Times New Roman" w:cs="Times New Roman"/>
          <w:sz w:val="23"/>
          <w:szCs w:val="23"/>
        </w:rPr>
        <w:t>enjoy</w:t>
      </w:r>
      <w:r w:rsidR="00472F58" w:rsidRPr="00FC346C">
        <w:rPr>
          <w:rFonts w:ascii="Times New Roman" w:hAnsi="Times New Roman" w:cs="Times New Roman"/>
          <w:sz w:val="23"/>
          <w:szCs w:val="23"/>
        </w:rPr>
        <w:t>ing</w:t>
      </w:r>
      <w:r w:rsidRPr="00FC346C">
        <w:rPr>
          <w:rFonts w:ascii="Times New Roman" w:hAnsi="Times New Roman" w:cs="Times New Roman"/>
          <w:sz w:val="23"/>
          <w:szCs w:val="23"/>
        </w:rPr>
        <w:t xml:space="preserve"> a higher rate of </w:t>
      </w:r>
      <w:r w:rsidR="00591999" w:rsidRPr="00FC346C">
        <w:rPr>
          <w:rFonts w:ascii="Times New Roman" w:hAnsi="Times New Roman" w:cs="Times New Roman"/>
          <w:sz w:val="23"/>
          <w:szCs w:val="23"/>
        </w:rPr>
        <w:t>RoE</w:t>
      </w:r>
      <w:r w:rsidRPr="00FC346C">
        <w:rPr>
          <w:rFonts w:ascii="Times New Roman" w:hAnsi="Times New Roman" w:cs="Times New Roman"/>
          <w:sz w:val="23"/>
          <w:szCs w:val="23"/>
        </w:rPr>
        <w:t xml:space="preserve">. </w:t>
      </w:r>
      <w:r w:rsidR="00E04DFD" w:rsidRPr="00FC346C">
        <w:rPr>
          <w:rFonts w:ascii="Times New Roman" w:hAnsi="Times New Roman" w:cs="Times New Roman"/>
          <w:sz w:val="23"/>
          <w:szCs w:val="23"/>
        </w:rPr>
        <w:t xml:space="preserve">Hence, in the very same sector for similarly placed projects, investors are attracted to invest capital with a much lower </w:t>
      </w:r>
      <w:r w:rsidR="00C93BD5" w:rsidRPr="00FC346C">
        <w:rPr>
          <w:rFonts w:ascii="Times New Roman" w:hAnsi="Times New Roman" w:cs="Times New Roman"/>
          <w:sz w:val="23"/>
          <w:szCs w:val="23"/>
        </w:rPr>
        <w:t>RoE</w:t>
      </w:r>
      <w:r w:rsidR="00E04DFD" w:rsidRPr="00FC346C">
        <w:rPr>
          <w:rFonts w:ascii="Times New Roman" w:hAnsi="Times New Roman" w:cs="Times New Roman"/>
          <w:sz w:val="23"/>
          <w:szCs w:val="23"/>
        </w:rPr>
        <w:t xml:space="preserve">. </w:t>
      </w:r>
      <w:r w:rsidR="00BA515F" w:rsidRPr="00FC346C">
        <w:rPr>
          <w:rFonts w:ascii="Times New Roman" w:hAnsi="Times New Roman" w:cs="Times New Roman"/>
          <w:sz w:val="23"/>
          <w:szCs w:val="23"/>
        </w:rPr>
        <w:t>This shows that t</w:t>
      </w:r>
      <w:r w:rsidR="00E04DFD" w:rsidRPr="00FC346C">
        <w:rPr>
          <w:rFonts w:ascii="Times New Roman" w:hAnsi="Times New Roman" w:cs="Times New Roman"/>
          <w:sz w:val="23"/>
          <w:szCs w:val="23"/>
        </w:rPr>
        <w:t xml:space="preserve">he consumers do not need to </w:t>
      </w:r>
      <w:r w:rsidR="00BA515F" w:rsidRPr="00FC346C">
        <w:rPr>
          <w:rFonts w:ascii="Times New Roman" w:hAnsi="Times New Roman" w:cs="Times New Roman"/>
          <w:sz w:val="23"/>
          <w:szCs w:val="23"/>
        </w:rPr>
        <w:t>pay</w:t>
      </w:r>
      <w:r w:rsidR="00E04DFD" w:rsidRPr="00FC346C">
        <w:rPr>
          <w:rFonts w:ascii="Times New Roman" w:hAnsi="Times New Roman" w:cs="Times New Roman"/>
          <w:sz w:val="23"/>
          <w:szCs w:val="23"/>
        </w:rPr>
        <w:t xml:space="preserve"> </w:t>
      </w:r>
      <w:r w:rsidR="00BA515F" w:rsidRPr="00FC346C">
        <w:rPr>
          <w:rFonts w:ascii="Times New Roman" w:hAnsi="Times New Roman" w:cs="Times New Roman"/>
          <w:sz w:val="23"/>
          <w:szCs w:val="23"/>
        </w:rPr>
        <w:t xml:space="preserve">RTM projects 15% RoE </w:t>
      </w:r>
      <w:proofErr w:type="gramStart"/>
      <w:r w:rsidR="00BA515F" w:rsidRPr="00FC346C">
        <w:rPr>
          <w:rFonts w:ascii="Times New Roman" w:hAnsi="Times New Roman" w:cs="Times New Roman"/>
          <w:sz w:val="23"/>
          <w:szCs w:val="23"/>
        </w:rPr>
        <w:t>in order to</w:t>
      </w:r>
      <w:proofErr w:type="gramEnd"/>
      <w:r w:rsidR="00BA515F" w:rsidRPr="00FC346C">
        <w:rPr>
          <w:rFonts w:ascii="Times New Roman" w:hAnsi="Times New Roman" w:cs="Times New Roman"/>
          <w:sz w:val="23"/>
          <w:szCs w:val="23"/>
        </w:rPr>
        <w:t xml:space="preserve"> attract investment in new projects. Any return commensurate with what is practically covered </w:t>
      </w:r>
      <w:r w:rsidR="000D50E9" w:rsidRPr="00FC346C">
        <w:rPr>
          <w:rFonts w:ascii="Times New Roman" w:hAnsi="Times New Roman" w:cs="Times New Roman"/>
          <w:sz w:val="23"/>
          <w:szCs w:val="23"/>
        </w:rPr>
        <w:t xml:space="preserve">by TBCB projects will be more equitable. </w:t>
      </w:r>
      <w:r w:rsidR="00BA515F" w:rsidRPr="00FC346C">
        <w:rPr>
          <w:rFonts w:ascii="Times New Roman" w:hAnsi="Times New Roman" w:cs="Times New Roman"/>
          <w:sz w:val="23"/>
          <w:szCs w:val="23"/>
        </w:rPr>
        <w:t xml:space="preserve"> </w:t>
      </w:r>
    </w:p>
    <w:p w14:paraId="4CBECFD1" w14:textId="77777777" w:rsidR="00276A04" w:rsidRPr="00FC346C" w:rsidRDefault="00276A04" w:rsidP="00352DD7">
      <w:pPr>
        <w:pStyle w:val="ListParagraph"/>
        <w:spacing w:after="0" w:line="360" w:lineRule="auto"/>
        <w:ind w:left="426"/>
        <w:jc w:val="both"/>
        <w:rPr>
          <w:rFonts w:ascii="Times New Roman" w:hAnsi="Times New Roman" w:cs="Times New Roman"/>
          <w:sz w:val="23"/>
          <w:szCs w:val="23"/>
        </w:rPr>
      </w:pPr>
    </w:p>
    <w:p w14:paraId="31A4BED7" w14:textId="4FA14957" w:rsidR="00276A04" w:rsidRPr="00FC346C" w:rsidRDefault="0086387E" w:rsidP="00352DD7">
      <w:pPr>
        <w:pStyle w:val="ListParagraph"/>
        <w:numPr>
          <w:ilvl w:val="0"/>
          <w:numId w:val="1"/>
        </w:numPr>
        <w:spacing w:after="0" w:line="360" w:lineRule="auto"/>
        <w:ind w:left="426" w:hanging="426"/>
        <w:jc w:val="both"/>
        <w:rPr>
          <w:rFonts w:ascii="Times New Roman" w:hAnsi="Times New Roman" w:cs="Times New Roman"/>
          <w:sz w:val="23"/>
          <w:szCs w:val="23"/>
        </w:rPr>
      </w:pPr>
      <w:r w:rsidRPr="00FC346C">
        <w:rPr>
          <w:rFonts w:ascii="Times New Roman" w:hAnsi="Times New Roman" w:cs="Times New Roman"/>
          <w:sz w:val="23"/>
          <w:szCs w:val="23"/>
        </w:rPr>
        <w:t>The following tables specifies the factual positions of impact of delay (time and cost overrun</w:t>
      </w:r>
      <w:r w:rsidR="00276A04" w:rsidRPr="00FC346C">
        <w:rPr>
          <w:rFonts w:ascii="Times New Roman" w:hAnsi="Times New Roman" w:cs="Times New Roman"/>
          <w:sz w:val="23"/>
          <w:szCs w:val="23"/>
        </w:rPr>
        <w:t>s</w:t>
      </w:r>
      <w:r w:rsidRPr="00FC346C">
        <w:rPr>
          <w:rFonts w:ascii="Times New Roman" w:hAnsi="Times New Roman" w:cs="Times New Roman"/>
          <w:sz w:val="23"/>
          <w:szCs w:val="23"/>
        </w:rPr>
        <w:t xml:space="preserve">) for RTM projects </w:t>
      </w:r>
      <w:r w:rsidRPr="00FC346C">
        <w:rPr>
          <w:rFonts w:ascii="Times New Roman" w:hAnsi="Times New Roman" w:cs="Times New Roman"/>
          <w:i/>
          <w:iCs/>
          <w:sz w:val="23"/>
          <w:szCs w:val="23"/>
        </w:rPr>
        <w:t>vis-à-vis</w:t>
      </w:r>
      <w:r w:rsidRPr="00FC346C">
        <w:rPr>
          <w:rFonts w:ascii="Times New Roman" w:hAnsi="Times New Roman" w:cs="Times New Roman"/>
          <w:sz w:val="23"/>
          <w:szCs w:val="23"/>
        </w:rPr>
        <w:t xml:space="preserve"> TBCB projects for the past investments till June 2022 analysed above.</w:t>
      </w:r>
    </w:p>
    <w:p w14:paraId="1839F974" w14:textId="77777777" w:rsidR="00276A04" w:rsidRPr="00FC346C" w:rsidRDefault="00276A04" w:rsidP="00352DD7">
      <w:pPr>
        <w:pStyle w:val="ListParagraph"/>
        <w:spacing w:after="0" w:line="360" w:lineRule="auto"/>
        <w:rPr>
          <w:rFonts w:ascii="Times New Roman" w:hAnsi="Times New Roman" w:cs="Times New Roman"/>
          <w:sz w:val="23"/>
          <w:szCs w:val="23"/>
        </w:rPr>
      </w:pPr>
    </w:p>
    <w:tbl>
      <w:tblPr>
        <w:tblW w:w="5000" w:type="pct"/>
        <w:jc w:val="center"/>
        <w:tblLook w:val="04A0" w:firstRow="1" w:lastRow="0" w:firstColumn="1" w:lastColumn="0" w:noHBand="0" w:noVBand="1"/>
      </w:tblPr>
      <w:tblGrid>
        <w:gridCol w:w="4502"/>
        <w:gridCol w:w="1591"/>
        <w:gridCol w:w="2923"/>
      </w:tblGrid>
      <w:tr w:rsidR="00677FDF" w:rsidRPr="00FC346C" w14:paraId="48A92E11" w14:textId="77777777" w:rsidTr="00C01E39">
        <w:trPr>
          <w:trHeight w:val="37"/>
          <w:tblHeader/>
          <w:jc w:val="center"/>
        </w:trPr>
        <w:tc>
          <w:tcPr>
            <w:tcW w:w="259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1D166F9" w14:textId="77777777" w:rsidR="0086387E" w:rsidRPr="00FC346C" w:rsidRDefault="0086387E" w:rsidP="00352DD7">
            <w:pPr>
              <w:spacing w:after="0" w:line="360" w:lineRule="auto"/>
              <w:jc w:val="center"/>
              <w:rPr>
                <w:rFonts w:ascii="Times New Roman" w:eastAsia="Times New Roman" w:hAnsi="Times New Roman" w:cs="Times New Roman"/>
                <w:b/>
                <w:bCs/>
                <w:sz w:val="23"/>
                <w:szCs w:val="23"/>
                <w:lang w:eastAsia="en-IN"/>
              </w:rPr>
            </w:pPr>
            <w:r w:rsidRPr="00FC346C">
              <w:rPr>
                <w:rFonts w:ascii="Times New Roman" w:eastAsia="Times New Roman" w:hAnsi="Times New Roman" w:cs="Times New Roman"/>
                <w:b/>
                <w:bCs/>
                <w:sz w:val="23"/>
                <w:szCs w:val="23"/>
                <w:lang w:eastAsia="en-IN"/>
              </w:rPr>
              <w:t>Particulars</w:t>
            </w:r>
          </w:p>
        </w:tc>
        <w:tc>
          <w:tcPr>
            <w:tcW w:w="857" w:type="pct"/>
            <w:tcBorders>
              <w:top w:val="single" w:sz="4" w:space="0" w:color="auto"/>
              <w:left w:val="nil"/>
              <w:bottom w:val="single" w:sz="4" w:space="0" w:color="auto"/>
              <w:right w:val="single" w:sz="4" w:space="0" w:color="auto"/>
            </w:tcBorders>
            <w:shd w:val="clear" w:color="auto" w:fill="E7E6E6" w:themeFill="background2"/>
            <w:noWrap/>
            <w:vAlign w:val="center"/>
            <w:hideMark/>
          </w:tcPr>
          <w:p w14:paraId="79682410" w14:textId="77777777" w:rsidR="0086387E" w:rsidRPr="00FC346C" w:rsidRDefault="0086387E" w:rsidP="00352DD7">
            <w:pPr>
              <w:spacing w:after="0" w:line="360" w:lineRule="auto"/>
              <w:jc w:val="center"/>
              <w:rPr>
                <w:rFonts w:ascii="Times New Roman" w:eastAsia="Times New Roman" w:hAnsi="Times New Roman" w:cs="Times New Roman"/>
                <w:b/>
                <w:bCs/>
                <w:sz w:val="23"/>
                <w:szCs w:val="23"/>
                <w:lang w:eastAsia="en-IN"/>
              </w:rPr>
            </w:pPr>
            <w:r w:rsidRPr="00FC346C">
              <w:rPr>
                <w:rFonts w:ascii="Times New Roman" w:eastAsia="Times New Roman" w:hAnsi="Times New Roman" w:cs="Times New Roman"/>
                <w:b/>
                <w:bCs/>
                <w:sz w:val="23"/>
                <w:szCs w:val="23"/>
                <w:lang w:eastAsia="en-IN"/>
              </w:rPr>
              <w:t>RTM</w:t>
            </w:r>
          </w:p>
        </w:tc>
        <w:tc>
          <w:tcPr>
            <w:tcW w:w="1552" w:type="pct"/>
            <w:tcBorders>
              <w:top w:val="single" w:sz="4" w:space="0" w:color="auto"/>
              <w:left w:val="nil"/>
              <w:bottom w:val="single" w:sz="4" w:space="0" w:color="auto"/>
              <w:right w:val="single" w:sz="4" w:space="0" w:color="auto"/>
            </w:tcBorders>
            <w:shd w:val="clear" w:color="auto" w:fill="E7E6E6" w:themeFill="background2"/>
            <w:noWrap/>
            <w:vAlign w:val="center"/>
            <w:hideMark/>
          </w:tcPr>
          <w:p w14:paraId="2B3C7033" w14:textId="77777777" w:rsidR="0086387E" w:rsidRPr="00FC346C" w:rsidRDefault="0086387E" w:rsidP="00352DD7">
            <w:pPr>
              <w:spacing w:after="0" w:line="360" w:lineRule="auto"/>
              <w:jc w:val="center"/>
              <w:rPr>
                <w:rFonts w:ascii="Times New Roman" w:eastAsia="Times New Roman" w:hAnsi="Times New Roman" w:cs="Times New Roman"/>
                <w:b/>
                <w:bCs/>
                <w:sz w:val="23"/>
                <w:szCs w:val="23"/>
                <w:lang w:eastAsia="en-IN"/>
              </w:rPr>
            </w:pPr>
            <w:r w:rsidRPr="00FC346C">
              <w:rPr>
                <w:rFonts w:ascii="Times New Roman" w:eastAsia="Times New Roman" w:hAnsi="Times New Roman" w:cs="Times New Roman"/>
                <w:b/>
                <w:bCs/>
                <w:sz w:val="23"/>
                <w:szCs w:val="23"/>
                <w:lang w:eastAsia="en-IN"/>
              </w:rPr>
              <w:t>TBCB</w:t>
            </w:r>
          </w:p>
        </w:tc>
      </w:tr>
      <w:tr w:rsidR="00677FDF" w:rsidRPr="00FC346C" w14:paraId="34579DF7" w14:textId="77777777" w:rsidTr="00276A04">
        <w:trPr>
          <w:trHeight w:val="288"/>
          <w:jc w:val="center"/>
        </w:trPr>
        <w:tc>
          <w:tcPr>
            <w:tcW w:w="2590" w:type="pct"/>
            <w:tcBorders>
              <w:top w:val="nil"/>
              <w:left w:val="single" w:sz="4" w:space="0" w:color="auto"/>
              <w:bottom w:val="single" w:sz="4" w:space="0" w:color="auto"/>
              <w:right w:val="single" w:sz="4" w:space="0" w:color="auto"/>
            </w:tcBorders>
            <w:shd w:val="clear" w:color="auto" w:fill="auto"/>
            <w:noWrap/>
            <w:vAlign w:val="center"/>
            <w:hideMark/>
          </w:tcPr>
          <w:p w14:paraId="1D591E57" w14:textId="77777777" w:rsidR="0086387E" w:rsidRPr="00FC346C" w:rsidRDefault="0086387E" w:rsidP="00352DD7">
            <w:pPr>
              <w:spacing w:after="0" w:line="36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Average time overrun per scheme (months)</w:t>
            </w:r>
          </w:p>
        </w:tc>
        <w:tc>
          <w:tcPr>
            <w:tcW w:w="857" w:type="pct"/>
            <w:tcBorders>
              <w:top w:val="nil"/>
              <w:left w:val="nil"/>
              <w:bottom w:val="single" w:sz="4" w:space="0" w:color="auto"/>
              <w:right w:val="single" w:sz="4" w:space="0" w:color="auto"/>
            </w:tcBorders>
            <w:shd w:val="clear" w:color="auto" w:fill="auto"/>
            <w:noWrap/>
            <w:vAlign w:val="center"/>
            <w:hideMark/>
          </w:tcPr>
          <w:p w14:paraId="7EEDB31D" w14:textId="77777777" w:rsidR="0086387E" w:rsidRPr="00FC346C" w:rsidRDefault="0086387E" w:rsidP="00352DD7">
            <w:pPr>
              <w:spacing w:after="0" w:line="36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14</w:t>
            </w:r>
          </w:p>
        </w:tc>
        <w:tc>
          <w:tcPr>
            <w:tcW w:w="1552" w:type="pct"/>
            <w:tcBorders>
              <w:top w:val="nil"/>
              <w:left w:val="nil"/>
              <w:bottom w:val="single" w:sz="4" w:space="0" w:color="auto"/>
              <w:right w:val="single" w:sz="4" w:space="0" w:color="auto"/>
            </w:tcBorders>
            <w:shd w:val="clear" w:color="auto" w:fill="auto"/>
            <w:noWrap/>
            <w:vAlign w:val="center"/>
            <w:hideMark/>
          </w:tcPr>
          <w:p w14:paraId="7FFD529F" w14:textId="77777777" w:rsidR="0086387E" w:rsidRPr="00FC346C" w:rsidRDefault="0086387E" w:rsidP="00352DD7">
            <w:pPr>
              <w:spacing w:after="0" w:line="36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11</w:t>
            </w:r>
          </w:p>
        </w:tc>
      </w:tr>
      <w:tr w:rsidR="00677FDF" w:rsidRPr="00FC346C" w14:paraId="0216F68F" w14:textId="77777777" w:rsidTr="00276A04">
        <w:trPr>
          <w:trHeight w:val="288"/>
          <w:jc w:val="center"/>
        </w:trPr>
        <w:tc>
          <w:tcPr>
            <w:tcW w:w="2590" w:type="pct"/>
            <w:tcBorders>
              <w:top w:val="nil"/>
              <w:left w:val="single" w:sz="4" w:space="0" w:color="auto"/>
              <w:bottom w:val="single" w:sz="4" w:space="0" w:color="auto"/>
              <w:right w:val="single" w:sz="4" w:space="0" w:color="auto"/>
            </w:tcBorders>
            <w:shd w:val="clear" w:color="auto" w:fill="auto"/>
            <w:noWrap/>
            <w:vAlign w:val="center"/>
            <w:hideMark/>
          </w:tcPr>
          <w:p w14:paraId="2053DE7B" w14:textId="769B1A83" w:rsidR="0086387E" w:rsidRPr="00FC346C" w:rsidRDefault="0086387E" w:rsidP="00352DD7">
            <w:pPr>
              <w:spacing w:after="0" w:line="36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Impact of time overrun (</w:t>
            </w:r>
            <w:r w:rsidR="00677FDF" w:rsidRPr="00FC346C">
              <w:rPr>
                <w:rFonts w:ascii="Times New Roman" w:eastAsia="Times New Roman" w:hAnsi="Times New Roman" w:cs="Times New Roman"/>
                <w:color w:val="000000"/>
                <w:sz w:val="23"/>
                <w:szCs w:val="23"/>
                <w:lang w:eastAsia="en-IN"/>
              </w:rPr>
              <w:t>with respect to</w:t>
            </w:r>
            <w:r w:rsidRPr="00FC346C">
              <w:rPr>
                <w:rFonts w:ascii="Times New Roman" w:eastAsia="Times New Roman" w:hAnsi="Times New Roman" w:cs="Times New Roman"/>
                <w:color w:val="000000"/>
                <w:sz w:val="23"/>
                <w:szCs w:val="23"/>
                <w:lang w:eastAsia="en-IN"/>
              </w:rPr>
              <w:t xml:space="preserve"> </w:t>
            </w:r>
            <w:r w:rsidR="00677FDF" w:rsidRPr="00FC346C">
              <w:rPr>
                <w:rFonts w:ascii="Times New Roman" w:eastAsia="Times New Roman" w:hAnsi="Times New Roman" w:cs="Times New Roman"/>
                <w:color w:val="000000"/>
                <w:sz w:val="23"/>
                <w:szCs w:val="23"/>
                <w:lang w:eastAsia="en-IN"/>
              </w:rPr>
              <w:t>d</w:t>
            </w:r>
            <w:r w:rsidRPr="00FC346C">
              <w:rPr>
                <w:rFonts w:ascii="Times New Roman" w:eastAsia="Times New Roman" w:hAnsi="Times New Roman" w:cs="Times New Roman"/>
                <w:color w:val="000000"/>
                <w:sz w:val="23"/>
                <w:szCs w:val="23"/>
                <w:lang w:eastAsia="en-IN"/>
              </w:rPr>
              <w:t>elay condoned)</w:t>
            </w:r>
          </w:p>
        </w:tc>
        <w:tc>
          <w:tcPr>
            <w:tcW w:w="857" w:type="pct"/>
            <w:tcBorders>
              <w:top w:val="nil"/>
              <w:left w:val="nil"/>
              <w:bottom w:val="single" w:sz="4" w:space="0" w:color="auto"/>
              <w:right w:val="single" w:sz="4" w:space="0" w:color="auto"/>
            </w:tcBorders>
            <w:shd w:val="clear" w:color="auto" w:fill="auto"/>
            <w:noWrap/>
            <w:vAlign w:val="center"/>
            <w:hideMark/>
          </w:tcPr>
          <w:p w14:paraId="4C8ACEAD" w14:textId="6BF5DAAD" w:rsidR="0086387E" w:rsidRPr="00FC346C" w:rsidRDefault="00677FDF" w:rsidP="00352DD7">
            <w:pPr>
              <w:spacing w:after="0" w:line="36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INR</w:t>
            </w:r>
            <w:r w:rsidR="0086387E" w:rsidRPr="00FC346C">
              <w:rPr>
                <w:rFonts w:ascii="Times New Roman" w:eastAsia="Times New Roman" w:hAnsi="Times New Roman" w:cs="Times New Roman"/>
                <w:color w:val="000000"/>
                <w:sz w:val="23"/>
                <w:szCs w:val="23"/>
                <w:lang w:eastAsia="en-IN"/>
              </w:rPr>
              <w:t xml:space="preserve"> 4,476 </w:t>
            </w:r>
            <w:r w:rsidRPr="00FC346C">
              <w:rPr>
                <w:rFonts w:ascii="Times New Roman" w:eastAsia="Times New Roman" w:hAnsi="Times New Roman" w:cs="Times New Roman"/>
                <w:color w:val="000000"/>
                <w:sz w:val="23"/>
                <w:szCs w:val="23"/>
                <w:lang w:eastAsia="en-IN"/>
              </w:rPr>
              <w:t>C</w:t>
            </w:r>
            <w:r w:rsidR="0086387E" w:rsidRPr="00FC346C">
              <w:rPr>
                <w:rFonts w:ascii="Times New Roman" w:eastAsia="Times New Roman" w:hAnsi="Times New Roman" w:cs="Times New Roman"/>
                <w:color w:val="000000"/>
                <w:sz w:val="23"/>
                <w:szCs w:val="23"/>
                <w:lang w:eastAsia="en-IN"/>
              </w:rPr>
              <w:t>rore</w:t>
            </w:r>
          </w:p>
        </w:tc>
        <w:tc>
          <w:tcPr>
            <w:tcW w:w="1552" w:type="pct"/>
            <w:tcBorders>
              <w:top w:val="nil"/>
              <w:left w:val="nil"/>
              <w:bottom w:val="single" w:sz="4" w:space="0" w:color="auto"/>
              <w:right w:val="single" w:sz="4" w:space="0" w:color="auto"/>
            </w:tcBorders>
            <w:shd w:val="clear" w:color="auto" w:fill="auto"/>
            <w:noWrap/>
            <w:vAlign w:val="center"/>
            <w:hideMark/>
          </w:tcPr>
          <w:p w14:paraId="0427B352" w14:textId="77777777" w:rsidR="0086387E" w:rsidRPr="00FC346C" w:rsidRDefault="0086387E" w:rsidP="00352DD7">
            <w:pPr>
              <w:spacing w:after="0" w:line="36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No impact</w:t>
            </w:r>
          </w:p>
        </w:tc>
      </w:tr>
      <w:tr w:rsidR="00677FDF" w:rsidRPr="00FC346C" w14:paraId="68CEA9FB" w14:textId="77777777" w:rsidTr="00276A04">
        <w:trPr>
          <w:trHeight w:val="372"/>
          <w:jc w:val="center"/>
        </w:trPr>
        <w:tc>
          <w:tcPr>
            <w:tcW w:w="2590" w:type="pct"/>
            <w:tcBorders>
              <w:top w:val="nil"/>
              <w:left w:val="single" w:sz="4" w:space="0" w:color="auto"/>
              <w:bottom w:val="single" w:sz="4" w:space="0" w:color="auto"/>
              <w:right w:val="single" w:sz="4" w:space="0" w:color="auto"/>
            </w:tcBorders>
            <w:shd w:val="clear" w:color="auto" w:fill="auto"/>
            <w:noWrap/>
            <w:vAlign w:val="center"/>
            <w:hideMark/>
          </w:tcPr>
          <w:p w14:paraId="45FD6E0B" w14:textId="137A335B" w:rsidR="0086387E" w:rsidRPr="00FC346C" w:rsidRDefault="0086387E" w:rsidP="00352DD7">
            <w:pPr>
              <w:spacing w:after="0" w:line="36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Total cost overrun (</w:t>
            </w:r>
            <w:r w:rsidR="00E357A7" w:rsidRPr="00FC346C">
              <w:rPr>
                <w:rFonts w:ascii="Times New Roman" w:eastAsia="Times New Roman" w:hAnsi="Times New Roman" w:cs="Times New Roman"/>
                <w:color w:val="000000"/>
                <w:sz w:val="23"/>
                <w:szCs w:val="23"/>
                <w:lang w:eastAsia="en-IN"/>
              </w:rPr>
              <w:t>c</w:t>
            </w:r>
            <w:r w:rsidRPr="00FC346C">
              <w:rPr>
                <w:rFonts w:ascii="Times New Roman" w:eastAsia="Times New Roman" w:hAnsi="Times New Roman" w:cs="Times New Roman"/>
                <w:color w:val="000000"/>
                <w:sz w:val="23"/>
                <w:szCs w:val="23"/>
                <w:lang w:eastAsia="en-IN"/>
              </w:rPr>
              <w:t xml:space="preserve">laimed cost- </w:t>
            </w:r>
            <w:r w:rsidR="00677FDF" w:rsidRPr="00FC346C">
              <w:rPr>
                <w:rFonts w:ascii="Times New Roman" w:eastAsia="Times New Roman" w:hAnsi="Times New Roman" w:cs="Times New Roman"/>
                <w:color w:val="000000"/>
                <w:sz w:val="23"/>
                <w:szCs w:val="23"/>
                <w:lang w:eastAsia="en-IN"/>
              </w:rPr>
              <w:t>I</w:t>
            </w:r>
            <w:r w:rsidRPr="00FC346C">
              <w:rPr>
                <w:rFonts w:ascii="Times New Roman" w:eastAsia="Times New Roman" w:hAnsi="Times New Roman" w:cs="Times New Roman"/>
                <w:color w:val="000000"/>
                <w:sz w:val="23"/>
                <w:szCs w:val="23"/>
                <w:lang w:eastAsia="en-IN"/>
              </w:rPr>
              <w:t>nvestment Approval)</w:t>
            </w:r>
          </w:p>
        </w:tc>
        <w:tc>
          <w:tcPr>
            <w:tcW w:w="857" w:type="pct"/>
            <w:tcBorders>
              <w:top w:val="nil"/>
              <w:left w:val="nil"/>
              <w:bottom w:val="single" w:sz="4" w:space="0" w:color="auto"/>
              <w:right w:val="single" w:sz="4" w:space="0" w:color="auto"/>
            </w:tcBorders>
            <w:shd w:val="clear" w:color="auto" w:fill="auto"/>
            <w:noWrap/>
            <w:vAlign w:val="center"/>
            <w:hideMark/>
          </w:tcPr>
          <w:p w14:paraId="26736847" w14:textId="0D744D85" w:rsidR="0086387E" w:rsidRPr="00FC346C" w:rsidRDefault="00677FDF" w:rsidP="00352DD7">
            <w:pPr>
              <w:spacing w:after="0" w:line="36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INR</w:t>
            </w:r>
            <w:r w:rsidR="0086387E" w:rsidRPr="00FC346C">
              <w:rPr>
                <w:rFonts w:ascii="Times New Roman" w:eastAsia="Times New Roman" w:hAnsi="Times New Roman" w:cs="Times New Roman"/>
                <w:color w:val="000000"/>
                <w:sz w:val="23"/>
                <w:szCs w:val="23"/>
                <w:lang w:eastAsia="en-IN"/>
              </w:rPr>
              <w:t xml:space="preserve"> 14,729 </w:t>
            </w:r>
            <w:r w:rsidRPr="00FC346C">
              <w:rPr>
                <w:rFonts w:ascii="Times New Roman" w:eastAsia="Times New Roman" w:hAnsi="Times New Roman" w:cs="Times New Roman"/>
                <w:color w:val="000000"/>
                <w:sz w:val="23"/>
                <w:szCs w:val="23"/>
                <w:lang w:eastAsia="en-IN"/>
              </w:rPr>
              <w:t>C</w:t>
            </w:r>
            <w:r w:rsidR="0086387E" w:rsidRPr="00FC346C">
              <w:rPr>
                <w:rFonts w:ascii="Times New Roman" w:eastAsia="Times New Roman" w:hAnsi="Times New Roman" w:cs="Times New Roman"/>
                <w:color w:val="000000"/>
                <w:sz w:val="23"/>
                <w:szCs w:val="23"/>
                <w:lang w:eastAsia="en-IN"/>
              </w:rPr>
              <w:t>rore</w:t>
            </w:r>
          </w:p>
        </w:tc>
        <w:tc>
          <w:tcPr>
            <w:tcW w:w="1552" w:type="pct"/>
            <w:tcBorders>
              <w:top w:val="nil"/>
              <w:left w:val="nil"/>
              <w:bottom w:val="single" w:sz="4" w:space="0" w:color="auto"/>
              <w:right w:val="single" w:sz="4" w:space="0" w:color="auto"/>
            </w:tcBorders>
            <w:shd w:val="clear" w:color="auto" w:fill="auto"/>
            <w:noWrap/>
            <w:vAlign w:val="center"/>
            <w:hideMark/>
          </w:tcPr>
          <w:p w14:paraId="347432D3" w14:textId="5142B859" w:rsidR="0086387E" w:rsidRPr="00FC346C" w:rsidRDefault="00677FDF" w:rsidP="00352DD7">
            <w:pPr>
              <w:spacing w:after="0" w:line="36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INR</w:t>
            </w:r>
            <w:r w:rsidR="0086387E" w:rsidRPr="00FC346C">
              <w:rPr>
                <w:rFonts w:ascii="Times New Roman" w:eastAsia="Times New Roman" w:hAnsi="Times New Roman" w:cs="Times New Roman"/>
                <w:color w:val="000000"/>
                <w:sz w:val="23"/>
                <w:szCs w:val="23"/>
                <w:lang w:eastAsia="en-IN"/>
              </w:rPr>
              <w:t xml:space="preserve"> 570.66 </w:t>
            </w:r>
            <w:r w:rsidRPr="00FC346C">
              <w:rPr>
                <w:rFonts w:ascii="Times New Roman" w:eastAsia="Times New Roman" w:hAnsi="Times New Roman" w:cs="Times New Roman"/>
                <w:color w:val="000000"/>
                <w:sz w:val="23"/>
                <w:szCs w:val="23"/>
                <w:lang w:eastAsia="en-IN"/>
              </w:rPr>
              <w:t>C</w:t>
            </w:r>
            <w:r w:rsidR="0086387E" w:rsidRPr="00FC346C">
              <w:rPr>
                <w:rFonts w:ascii="Times New Roman" w:eastAsia="Times New Roman" w:hAnsi="Times New Roman" w:cs="Times New Roman"/>
                <w:color w:val="000000"/>
                <w:sz w:val="23"/>
                <w:szCs w:val="23"/>
                <w:lang w:eastAsia="en-IN"/>
              </w:rPr>
              <w:t xml:space="preserve">rore (Change in </w:t>
            </w:r>
            <w:r w:rsidR="00E357A7" w:rsidRPr="00FC346C">
              <w:rPr>
                <w:rFonts w:ascii="Times New Roman" w:eastAsia="Times New Roman" w:hAnsi="Times New Roman" w:cs="Times New Roman"/>
                <w:color w:val="000000"/>
                <w:sz w:val="23"/>
                <w:szCs w:val="23"/>
                <w:lang w:eastAsia="en-IN"/>
              </w:rPr>
              <w:t>L</w:t>
            </w:r>
            <w:r w:rsidR="0086387E" w:rsidRPr="00FC346C">
              <w:rPr>
                <w:rFonts w:ascii="Times New Roman" w:eastAsia="Times New Roman" w:hAnsi="Times New Roman" w:cs="Times New Roman"/>
                <w:color w:val="000000"/>
                <w:sz w:val="23"/>
                <w:szCs w:val="23"/>
                <w:lang w:eastAsia="en-IN"/>
              </w:rPr>
              <w:t>aw</w:t>
            </w:r>
            <w:r w:rsidRPr="00FC346C">
              <w:rPr>
                <w:rFonts w:ascii="Times New Roman" w:eastAsia="Times New Roman" w:hAnsi="Times New Roman" w:cs="Times New Roman"/>
                <w:color w:val="000000"/>
                <w:sz w:val="23"/>
                <w:szCs w:val="23"/>
                <w:lang w:eastAsia="en-IN"/>
              </w:rPr>
              <w:t>)</w:t>
            </w:r>
          </w:p>
        </w:tc>
      </w:tr>
    </w:tbl>
    <w:p w14:paraId="5B115844" w14:textId="77777777" w:rsidR="00677FDF" w:rsidRPr="00FC346C" w:rsidRDefault="00677FDF" w:rsidP="00352DD7">
      <w:pPr>
        <w:pStyle w:val="ListParagraph"/>
        <w:spacing w:after="0" w:line="360" w:lineRule="auto"/>
        <w:ind w:left="426"/>
        <w:jc w:val="both"/>
        <w:rPr>
          <w:rFonts w:ascii="Times New Roman" w:hAnsi="Times New Roman" w:cs="Times New Roman"/>
          <w:sz w:val="23"/>
          <w:szCs w:val="23"/>
        </w:rPr>
      </w:pPr>
    </w:p>
    <w:p w14:paraId="5B5C0083" w14:textId="6CAEBDB7" w:rsidR="0086387E" w:rsidRPr="00FC346C" w:rsidRDefault="0086387E" w:rsidP="00352DD7">
      <w:pPr>
        <w:pStyle w:val="ListParagraph"/>
        <w:numPr>
          <w:ilvl w:val="0"/>
          <w:numId w:val="1"/>
        </w:numPr>
        <w:spacing w:after="0" w:line="360" w:lineRule="auto"/>
        <w:ind w:left="426" w:hanging="426"/>
        <w:jc w:val="both"/>
        <w:rPr>
          <w:rFonts w:ascii="Times New Roman" w:hAnsi="Times New Roman" w:cs="Times New Roman"/>
          <w:sz w:val="23"/>
          <w:szCs w:val="23"/>
        </w:rPr>
      </w:pPr>
      <w:r w:rsidRPr="00FC346C">
        <w:rPr>
          <w:rFonts w:ascii="Times New Roman" w:hAnsi="Times New Roman" w:cs="Times New Roman"/>
          <w:sz w:val="23"/>
          <w:szCs w:val="23"/>
        </w:rPr>
        <w:t xml:space="preserve">Therefore, </w:t>
      </w:r>
      <w:r w:rsidR="00030359" w:rsidRPr="00FC346C">
        <w:rPr>
          <w:rFonts w:ascii="Times New Roman" w:hAnsi="Times New Roman" w:cs="Times New Roman"/>
          <w:sz w:val="23"/>
          <w:szCs w:val="23"/>
        </w:rPr>
        <w:t>I</w:t>
      </w:r>
      <w:r w:rsidRPr="00FC346C">
        <w:rPr>
          <w:rFonts w:ascii="Times New Roman" w:hAnsi="Times New Roman" w:cs="Times New Roman"/>
          <w:sz w:val="23"/>
          <w:szCs w:val="23"/>
        </w:rPr>
        <w:t xml:space="preserve"> strongly suggest that since </w:t>
      </w:r>
      <w:proofErr w:type="gramStart"/>
      <w:r w:rsidRPr="00FC346C">
        <w:rPr>
          <w:rFonts w:ascii="Times New Roman" w:hAnsi="Times New Roman" w:cs="Times New Roman"/>
          <w:sz w:val="23"/>
          <w:szCs w:val="23"/>
        </w:rPr>
        <w:t>the majority of</w:t>
      </w:r>
      <w:proofErr w:type="gramEnd"/>
      <w:r w:rsidRPr="00FC346C">
        <w:rPr>
          <w:rFonts w:ascii="Times New Roman" w:hAnsi="Times New Roman" w:cs="Times New Roman"/>
          <w:sz w:val="23"/>
          <w:szCs w:val="23"/>
        </w:rPr>
        <w:t xml:space="preserve"> the risks for RTM </w:t>
      </w:r>
      <w:r w:rsidR="00030359" w:rsidRPr="00FC346C">
        <w:rPr>
          <w:rFonts w:ascii="Times New Roman" w:hAnsi="Times New Roman" w:cs="Times New Roman"/>
          <w:sz w:val="23"/>
          <w:szCs w:val="23"/>
        </w:rPr>
        <w:t xml:space="preserve">transmission </w:t>
      </w:r>
      <w:r w:rsidRPr="00FC346C">
        <w:rPr>
          <w:rFonts w:ascii="Times New Roman" w:hAnsi="Times New Roman" w:cs="Times New Roman"/>
          <w:sz w:val="23"/>
          <w:szCs w:val="23"/>
        </w:rPr>
        <w:t>projects are mitigated by regulatory interventions</w:t>
      </w:r>
      <w:r w:rsidR="00720804">
        <w:rPr>
          <w:rFonts w:ascii="Times New Roman" w:hAnsi="Times New Roman" w:cs="Times New Roman"/>
          <w:sz w:val="23"/>
          <w:szCs w:val="23"/>
        </w:rPr>
        <w:t>,</w:t>
      </w:r>
      <w:r w:rsidRPr="00FC346C">
        <w:rPr>
          <w:rFonts w:ascii="Times New Roman" w:hAnsi="Times New Roman" w:cs="Times New Roman"/>
          <w:sz w:val="23"/>
          <w:szCs w:val="23"/>
        </w:rPr>
        <w:t xml:space="preserve"> especially condon</w:t>
      </w:r>
      <w:r w:rsidR="002E24DB" w:rsidRPr="00FC346C">
        <w:rPr>
          <w:rFonts w:ascii="Times New Roman" w:hAnsi="Times New Roman" w:cs="Times New Roman"/>
          <w:sz w:val="23"/>
          <w:szCs w:val="23"/>
        </w:rPr>
        <w:t>ation</w:t>
      </w:r>
      <w:r w:rsidRPr="00FC346C">
        <w:rPr>
          <w:rFonts w:ascii="Times New Roman" w:hAnsi="Times New Roman" w:cs="Times New Roman"/>
          <w:sz w:val="23"/>
          <w:szCs w:val="23"/>
        </w:rPr>
        <w:t xml:space="preserve"> of delay</w:t>
      </w:r>
      <w:r w:rsidR="002E24DB" w:rsidRPr="00FC346C">
        <w:rPr>
          <w:rFonts w:ascii="Times New Roman" w:hAnsi="Times New Roman" w:cs="Times New Roman"/>
          <w:sz w:val="23"/>
          <w:szCs w:val="23"/>
        </w:rPr>
        <w:t>s</w:t>
      </w:r>
      <w:r w:rsidRPr="00FC346C">
        <w:rPr>
          <w:rFonts w:ascii="Times New Roman" w:hAnsi="Times New Roman" w:cs="Times New Roman"/>
          <w:sz w:val="23"/>
          <w:szCs w:val="23"/>
        </w:rPr>
        <w:t xml:space="preserve"> and pass through of time/</w:t>
      </w:r>
      <w:r w:rsidR="00677FDF" w:rsidRPr="00FC346C">
        <w:rPr>
          <w:rFonts w:ascii="Times New Roman" w:hAnsi="Times New Roman" w:cs="Times New Roman"/>
          <w:sz w:val="23"/>
          <w:szCs w:val="23"/>
        </w:rPr>
        <w:t xml:space="preserve"> </w:t>
      </w:r>
      <w:r w:rsidRPr="00FC346C">
        <w:rPr>
          <w:rFonts w:ascii="Times New Roman" w:hAnsi="Times New Roman" w:cs="Times New Roman"/>
          <w:sz w:val="23"/>
          <w:szCs w:val="23"/>
        </w:rPr>
        <w:t>cost</w:t>
      </w:r>
      <w:r w:rsidR="00677FDF" w:rsidRPr="00FC346C">
        <w:rPr>
          <w:rFonts w:ascii="Times New Roman" w:hAnsi="Times New Roman" w:cs="Times New Roman"/>
          <w:sz w:val="23"/>
          <w:szCs w:val="23"/>
        </w:rPr>
        <w:t xml:space="preserve"> </w:t>
      </w:r>
      <w:r w:rsidRPr="00FC346C">
        <w:rPr>
          <w:rFonts w:ascii="Times New Roman" w:hAnsi="Times New Roman" w:cs="Times New Roman"/>
          <w:sz w:val="23"/>
          <w:szCs w:val="23"/>
        </w:rPr>
        <w:t>overrun</w:t>
      </w:r>
      <w:r w:rsidR="00677FDF" w:rsidRPr="00FC346C">
        <w:rPr>
          <w:rFonts w:ascii="Times New Roman" w:hAnsi="Times New Roman" w:cs="Times New Roman"/>
          <w:sz w:val="23"/>
          <w:szCs w:val="23"/>
        </w:rPr>
        <w:t>s</w:t>
      </w:r>
      <w:r w:rsidRPr="00FC346C">
        <w:rPr>
          <w:rFonts w:ascii="Times New Roman" w:hAnsi="Times New Roman" w:cs="Times New Roman"/>
          <w:sz w:val="23"/>
          <w:szCs w:val="23"/>
        </w:rPr>
        <w:t xml:space="preserve"> in the tariffs, the rate of </w:t>
      </w:r>
      <w:r w:rsidR="002E24DB" w:rsidRPr="00FC346C">
        <w:rPr>
          <w:rFonts w:ascii="Times New Roman" w:hAnsi="Times New Roman" w:cs="Times New Roman"/>
          <w:sz w:val="23"/>
          <w:szCs w:val="23"/>
        </w:rPr>
        <w:t>RoE</w:t>
      </w:r>
      <w:r w:rsidRPr="00FC346C">
        <w:rPr>
          <w:rFonts w:ascii="Times New Roman" w:hAnsi="Times New Roman" w:cs="Times New Roman"/>
          <w:sz w:val="23"/>
          <w:szCs w:val="23"/>
        </w:rPr>
        <w:t xml:space="preserve"> should be lower than </w:t>
      </w:r>
      <w:r w:rsidR="00720804">
        <w:rPr>
          <w:rFonts w:ascii="Times New Roman" w:hAnsi="Times New Roman" w:cs="Times New Roman"/>
          <w:sz w:val="23"/>
          <w:szCs w:val="23"/>
        </w:rPr>
        <w:t>15% - as proposed in the Draft Regulations</w:t>
      </w:r>
      <w:r w:rsidRPr="00FC346C">
        <w:rPr>
          <w:rFonts w:ascii="Times New Roman" w:hAnsi="Times New Roman" w:cs="Times New Roman"/>
          <w:sz w:val="23"/>
          <w:szCs w:val="23"/>
        </w:rPr>
        <w:t>.</w:t>
      </w:r>
    </w:p>
    <w:p w14:paraId="6FBAC185" w14:textId="77777777" w:rsidR="00B303DB" w:rsidRPr="00FC346C" w:rsidRDefault="00B303DB" w:rsidP="00B303DB">
      <w:pPr>
        <w:pStyle w:val="ListParagraph"/>
        <w:spacing w:after="0" w:line="360" w:lineRule="auto"/>
        <w:ind w:left="426"/>
        <w:jc w:val="both"/>
        <w:rPr>
          <w:rFonts w:ascii="Times New Roman" w:hAnsi="Times New Roman" w:cs="Times New Roman"/>
          <w:sz w:val="23"/>
          <w:szCs w:val="23"/>
        </w:rPr>
      </w:pPr>
    </w:p>
    <w:p w14:paraId="40ED3BF8" w14:textId="063EE6AB" w:rsidR="00B303DB" w:rsidRPr="00FC346C" w:rsidRDefault="00B303DB" w:rsidP="00B303DB">
      <w:pPr>
        <w:pStyle w:val="ListParagraph"/>
        <w:numPr>
          <w:ilvl w:val="0"/>
          <w:numId w:val="1"/>
        </w:numPr>
        <w:spacing w:after="0" w:line="360" w:lineRule="auto"/>
        <w:ind w:left="426" w:hanging="426"/>
        <w:jc w:val="both"/>
        <w:rPr>
          <w:rFonts w:ascii="Times New Roman" w:hAnsi="Times New Roman" w:cs="Times New Roman"/>
          <w:sz w:val="23"/>
          <w:szCs w:val="23"/>
        </w:rPr>
      </w:pPr>
      <w:r w:rsidRPr="00FC346C">
        <w:rPr>
          <w:rFonts w:ascii="Times New Roman" w:hAnsi="Times New Roman" w:cs="Times New Roman"/>
          <w:sz w:val="23"/>
          <w:szCs w:val="23"/>
        </w:rPr>
        <w:t xml:space="preserve">Separately, it may be noted that state regulators have no jurisdiction over the tariffs of inter-state transmission projects, which fall exclusively under this Hon’ble Commission’s jurisdiction. Consequently, consumers in various Indian states find themselves paying higher electricity tariffs due to the inflated RoE and </w:t>
      </w:r>
      <w:r w:rsidR="00365C0F" w:rsidRPr="00FC346C">
        <w:rPr>
          <w:rFonts w:ascii="Times New Roman" w:hAnsi="Times New Roman" w:cs="Times New Roman"/>
          <w:sz w:val="23"/>
          <w:szCs w:val="23"/>
        </w:rPr>
        <w:t>favourable time and cost</w:t>
      </w:r>
      <w:r w:rsidRPr="00FC346C">
        <w:rPr>
          <w:rFonts w:ascii="Times New Roman" w:hAnsi="Times New Roman" w:cs="Times New Roman"/>
          <w:sz w:val="23"/>
          <w:szCs w:val="23"/>
        </w:rPr>
        <w:t xml:space="preserve"> overrun provisions outlined in the Draft Regulations governing </w:t>
      </w:r>
      <w:r w:rsidR="00365C0F" w:rsidRPr="00FC346C">
        <w:rPr>
          <w:rFonts w:ascii="Times New Roman" w:hAnsi="Times New Roman" w:cs="Times New Roman"/>
          <w:sz w:val="23"/>
          <w:szCs w:val="23"/>
        </w:rPr>
        <w:t>inter-state RTM transmission projects</w:t>
      </w:r>
      <w:r w:rsidRPr="00FC346C">
        <w:rPr>
          <w:rFonts w:ascii="Times New Roman" w:hAnsi="Times New Roman" w:cs="Times New Roman"/>
          <w:sz w:val="23"/>
          <w:szCs w:val="23"/>
        </w:rPr>
        <w:t xml:space="preserve">. Despite bearing </w:t>
      </w:r>
      <w:r w:rsidR="00365C0F" w:rsidRPr="00FC346C">
        <w:rPr>
          <w:rFonts w:ascii="Times New Roman" w:hAnsi="Times New Roman" w:cs="Times New Roman"/>
          <w:sz w:val="23"/>
          <w:szCs w:val="23"/>
        </w:rPr>
        <w:t>a significant</w:t>
      </w:r>
      <w:r w:rsidRPr="00FC346C">
        <w:rPr>
          <w:rFonts w:ascii="Times New Roman" w:hAnsi="Times New Roman" w:cs="Times New Roman"/>
          <w:sz w:val="23"/>
          <w:szCs w:val="23"/>
        </w:rPr>
        <w:t xml:space="preserve"> financial burden, state consumers have no direct representation</w:t>
      </w:r>
      <w:r w:rsidR="00365C0F" w:rsidRPr="00FC346C">
        <w:rPr>
          <w:rFonts w:ascii="Times New Roman" w:hAnsi="Times New Roman" w:cs="Times New Roman"/>
          <w:sz w:val="23"/>
          <w:szCs w:val="23"/>
        </w:rPr>
        <w:t xml:space="preserve"> in the matter</w:t>
      </w:r>
      <w:r w:rsidRPr="00FC346C">
        <w:rPr>
          <w:rFonts w:ascii="Times New Roman" w:hAnsi="Times New Roman" w:cs="Times New Roman"/>
          <w:sz w:val="23"/>
          <w:szCs w:val="23"/>
        </w:rPr>
        <w:t xml:space="preserve"> or oversight from their respective state regulatory bodies (i.e., SERCs), exacerbating the</w:t>
      </w:r>
      <w:r w:rsidR="00365C0F" w:rsidRPr="00FC346C">
        <w:rPr>
          <w:rFonts w:ascii="Times New Roman" w:hAnsi="Times New Roman" w:cs="Times New Roman"/>
          <w:sz w:val="23"/>
          <w:szCs w:val="23"/>
        </w:rPr>
        <w:t>ir</w:t>
      </w:r>
      <w:r w:rsidRPr="00FC346C">
        <w:rPr>
          <w:rFonts w:ascii="Times New Roman" w:hAnsi="Times New Roman" w:cs="Times New Roman"/>
          <w:sz w:val="23"/>
          <w:szCs w:val="23"/>
        </w:rPr>
        <w:t xml:space="preserve"> sense of unfairness and disenfranchisement. Therefore, th</w:t>
      </w:r>
      <w:r w:rsidR="00E7474D" w:rsidRPr="00FC346C">
        <w:rPr>
          <w:rFonts w:ascii="Times New Roman" w:hAnsi="Times New Roman" w:cs="Times New Roman"/>
          <w:sz w:val="23"/>
          <w:szCs w:val="23"/>
        </w:rPr>
        <w:t xml:space="preserve">is Hon’ble Commission ought to be extremely cautious while creating a </w:t>
      </w:r>
      <w:r w:rsidR="00365C0F" w:rsidRPr="00FC346C">
        <w:rPr>
          <w:rFonts w:ascii="Times New Roman" w:hAnsi="Times New Roman" w:cs="Times New Roman"/>
          <w:sz w:val="23"/>
          <w:szCs w:val="23"/>
        </w:rPr>
        <w:t>regulatory framework that may result in unfairly high consumer tariffs.</w:t>
      </w:r>
    </w:p>
    <w:p w14:paraId="0D9FE0FD" w14:textId="77777777" w:rsidR="00B303DB" w:rsidRPr="00FC346C" w:rsidRDefault="00B303DB" w:rsidP="00352DD7">
      <w:pPr>
        <w:pStyle w:val="ListParagraph"/>
        <w:spacing w:after="0" w:line="360" w:lineRule="auto"/>
        <w:ind w:left="426"/>
        <w:jc w:val="both"/>
        <w:rPr>
          <w:rFonts w:ascii="Times New Roman" w:hAnsi="Times New Roman" w:cs="Times New Roman"/>
          <w:sz w:val="23"/>
          <w:szCs w:val="23"/>
        </w:rPr>
      </w:pPr>
    </w:p>
    <w:p w14:paraId="7EA70BDC" w14:textId="02372947" w:rsidR="008D2A01" w:rsidRPr="00FC346C" w:rsidRDefault="008D2A01" w:rsidP="00352DD7">
      <w:pPr>
        <w:pStyle w:val="ListParagraph"/>
        <w:spacing w:after="0" w:line="360" w:lineRule="auto"/>
        <w:ind w:left="426"/>
        <w:jc w:val="both"/>
        <w:rPr>
          <w:rFonts w:ascii="Times New Roman" w:eastAsia="Times New Roman" w:hAnsi="Times New Roman" w:cs="Times New Roman"/>
          <w:b/>
          <w:bCs/>
          <w:smallCaps/>
          <w:sz w:val="23"/>
          <w:szCs w:val="23"/>
        </w:rPr>
      </w:pPr>
      <w:r w:rsidRPr="00FC346C">
        <w:rPr>
          <w:rFonts w:ascii="Times New Roman" w:eastAsia="Times New Roman" w:hAnsi="Times New Roman" w:cs="Times New Roman"/>
          <w:b/>
          <w:bCs/>
          <w:smallCaps/>
          <w:sz w:val="23"/>
          <w:szCs w:val="23"/>
        </w:rPr>
        <w:t>Approach by Other SERCs</w:t>
      </w:r>
    </w:p>
    <w:p w14:paraId="43E47A84" w14:textId="77777777" w:rsidR="008D2A01" w:rsidRPr="00FC346C" w:rsidRDefault="008D2A01" w:rsidP="00352DD7">
      <w:pPr>
        <w:pStyle w:val="ListParagraph"/>
        <w:spacing w:after="0" w:line="360" w:lineRule="auto"/>
        <w:ind w:left="426"/>
        <w:jc w:val="both"/>
        <w:rPr>
          <w:rFonts w:ascii="Times New Roman" w:hAnsi="Times New Roman" w:cs="Times New Roman"/>
          <w:sz w:val="23"/>
          <w:szCs w:val="23"/>
        </w:rPr>
      </w:pPr>
    </w:p>
    <w:p w14:paraId="769EF10D" w14:textId="0B3DC574" w:rsidR="00160DA1" w:rsidRPr="00FC346C" w:rsidRDefault="0043196D" w:rsidP="00352DD7">
      <w:pPr>
        <w:pStyle w:val="ListParagraph"/>
        <w:numPr>
          <w:ilvl w:val="0"/>
          <w:numId w:val="1"/>
        </w:numPr>
        <w:spacing w:after="0" w:line="360" w:lineRule="auto"/>
        <w:ind w:left="426" w:hanging="426"/>
        <w:jc w:val="both"/>
        <w:rPr>
          <w:rFonts w:ascii="Times New Roman" w:hAnsi="Times New Roman" w:cs="Times New Roman"/>
          <w:sz w:val="23"/>
          <w:szCs w:val="23"/>
        </w:rPr>
      </w:pPr>
      <w:r w:rsidRPr="00FC346C">
        <w:rPr>
          <w:rFonts w:ascii="Times New Roman" w:hAnsi="Times New Roman" w:cs="Times New Roman"/>
          <w:sz w:val="23"/>
          <w:szCs w:val="23"/>
        </w:rPr>
        <w:t xml:space="preserve">Electricity regulators should consider </w:t>
      </w:r>
      <w:r w:rsidR="00F56073" w:rsidRPr="00FC346C">
        <w:rPr>
          <w:rFonts w:ascii="Times New Roman" w:hAnsi="Times New Roman" w:cs="Times New Roman"/>
          <w:sz w:val="23"/>
          <w:szCs w:val="23"/>
        </w:rPr>
        <w:t xml:space="preserve">factors such as </w:t>
      </w:r>
      <w:r w:rsidR="00C830AC" w:rsidRPr="00FC346C">
        <w:rPr>
          <w:rFonts w:ascii="Times New Roman" w:hAnsi="Times New Roman" w:cs="Times New Roman"/>
          <w:sz w:val="23"/>
          <w:szCs w:val="23"/>
        </w:rPr>
        <w:t>present market expectations, development risk, trend of RBI Repo Rate, interbank rate and SBI Base Rate/</w:t>
      </w:r>
      <w:r w:rsidR="0097709A" w:rsidRPr="00FC346C">
        <w:rPr>
          <w:rFonts w:ascii="Times New Roman" w:hAnsi="Times New Roman" w:cs="Times New Roman"/>
          <w:sz w:val="23"/>
          <w:szCs w:val="23"/>
        </w:rPr>
        <w:t xml:space="preserve"> </w:t>
      </w:r>
      <w:r w:rsidR="00C830AC" w:rsidRPr="00FC346C">
        <w:rPr>
          <w:rFonts w:ascii="Times New Roman" w:hAnsi="Times New Roman" w:cs="Times New Roman"/>
          <w:sz w:val="23"/>
          <w:szCs w:val="23"/>
        </w:rPr>
        <w:t xml:space="preserve">MCLR, </w:t>
      </w:r>
      <w:r w:rsidR="00C830AC" w:rsidRPr="00FC346C">
        <w:rPr>
          <w:rFonts w:ascii="Times New Roman" w:hAnsi="Times New Roman" w:cs="Times New Roman"/>
          <w:i/>
          <w:iCs/>
          <w:sz w:val="23"/>
          <w:szCs w:val="23"/>
        </w:rPr>
        <w:t>etc</w:t>
      </w:r>
      <w:r w:rsidR="004E3206" w:rsidRPr="00FC346C">
        <w:rPr>
          <w:rFonts w:ascii="Times New Roman" w:hAnsi="Times New Roman" w:cs="Times New Roman"/>
          <w:i/>
          <w:iCs/>
          <w:sz w:val="23"/>
          <w:szCs w:val="23"/>
        </w:rPr>
        <w:t>.</w:t>
      </w:r>
      <w:r w:rsidR="00F56073" w:rsidRPr="00FC346C">
        <w:rPr>
          <w:rFonts w:ascii="Times New Roman" w:hAnsi="Times New Roman" w:cs="Times New Roman"/>
          <w:i/>
          <w:iCs/>
          <w:sz w:val="23"/>
          <w:szCs w:val="23"/>
        </w:rPr>
        <w:t xml:space="preserve"> </w:t>
      </w:r>
      <w:r w:rsidR="00F56073" w:rsidRPr="00FC346C">
        <w:rPr>
          <w:rFonts w:ascii="Times New Roman" w:hAnsi="Times New Roman" w:cs="Times New Roman"/>
          <w:sz w:val="23"/>
          <w:szCs w:val="23"/>
        </w:rPr>
        <w:t>while calculating RoE for inter-state transmission projects</w:t>
      </w:r>
      <w:r w:rsidR="00C830AC" w:rsidRPr="00FC346C">
        <w:rPr>
          <w:rFonts w:ascii="Times New Roman" w:hAnsi="Times New Roman" w:cs="Times New Roman"/>
          <w:sz w:val="23"/>
          <w:szCs w:val="23"/>
        </w:rPr>
        <w:t xml:space="preserve">. </w:t>
      </w:r>
      <w:r w:rsidR="00F358BD" w:rsidRPr="00FC346C">
        <w:rPr>
          <w:rFonts w:ascii="Times New Roman" w:hAnsi="Times New Roman" w:cs="Times New Roman"/>
          <w:sz w:val="23"/>
          <w:szCs w:val="23"/>
        </w:rPr>
        <w:t>Lately,</w:t>
      </w:r>
      <w:r w:rsidR="00B334B7" w:rsidRPr="00FC346C">
        <w:rPr>
          <w:rFonts w:ascii="Times New Roman" w:hAnsi="Times New Roman" w:cs="Times New Roman"/>
          <w:sz w:val="23"/>
          <w:szCs w:val="23"/>
        </w:rPr>
        <w:t xml:space="preserve"> </w:t>
      </w:r>
      <w:r w:rsidR="001303F3" w:rsidRPr="00FC346C">
        <w:rPr>
          <w:rFonts w:ascii="Times New Roman" w:hAnsi="Times New Roman" w:cs="Times New Roman"/>
          <w:sz w:val="23"/>
          <w:szCs w:val="23"/>
        </w:rPr>
        <w:t xml:space="preserve">SERCs in prominent States such as </w:t>
      </w:r>
      <w:r w:rsidR="007A040C" w:rsidRPr="00FC346C">
        <w:rPr>
          <w:rFonts w:ascii="Times New Roman" w:hAnsi="Times New Roman" w:cs="Times New Roman"/>
          <w:sz w:val="23"/>
          <w:szCs w:val="23"/>
        </w:rPr>
        <w:t>Gujarat</w:t>
      </w:r>
      <w:r w:rsidR="001303F3" w:rsidRPr="00FC346C">
        <w:rPr>
          <w:rFonts w:ascii="Times New Roman" w:hAnsi="Times New Roman" w:cs="Times New Roman"/>
          <w:sz w:val="23"/>
          <w:szCs w:val="23"/>
        </w:rPr>
        <w:t>, Delhi</w:t>
      </w:r>
      <w:r w:rsidR="004E3206" w:rsidRPr="00FC346C">
        <w:rPr>
          <w:rFonts w:ascii="Times New Roman" w:hAnsi="Times New Roman" w:cs="Times New Roman"/>
          <w:sz w:val="23"/>
          <w:szCs w:val="23"/>
        </w:rPr>
        <w:t>,</w:t>
      </w:r>
      <w:r w:rsidR="00FC58CD" w:rsidRPr="00FC346C">
        <w:rPr>
          <w:rFonts w:ascii="Times New Roman" w:hAnsi="Times New Roman" w:cs="Times New Roman"/>
          <w:sz w:val="23"/>
          <w:szCs w:val="23"/>
        </w:rPr>
        <w:t xml:space="preserve"> Rajasthan</w:t>
      </w:r>
      <w:r w:rsidR="006C47E5" w:rsidRPr="00FC346C">
        <w:rPr>
          <w:rFonts w:ascii="Times New Roman" w:hAnsi="Times New Roman" w:cs="Times New Roman"/>
          <w:sz w:val="23"/>
          <w:szCs w:val="23"/>
        </w:rPr>
        <w:t>,</w:t>
      </w:r>
      <w:r w:rsidR="004E3206" w:rsidRPr="00FC346C">
        <w:rPr>
          <w:rFonts w:ascii="Times New Roman" w:hAnsi="Times New Roman" w:cs="Times New Roman"/>
          <w:sz w:val="23"/>
          <w:szCs w:val="23"/>
        </w:rPr>
        <w:t xml:space="preserve"> </w:t>
      </w:r>
      <w:r w:rsidR="004E3206" w:rsidRPr="00FC346C">
        <w:rPr>
          <w:rFonts w:ascii="Times New Roman" w:hAnsi="Times New Roman" w:cs="Times New Roman"/>
          <w:i/>
          <w:iCs/>
          <w:sz w:val="23"/>
          <w:szCs w:val="23"/>
        </w:rPr>
        <w:t>etc.</w:t>
      </w:r>
      <w:r w:rsidR="001303F3" w:rsidRPr="00FC346C">
        <w:rPr>
          <w:rFonts w:ascii="Times New Roman" w:hAnsi="Times New Roman" w:cs="Times New Roman"/>
          <w:sz w:val="23"/>
          <w:szCs w:val="23"/>
        </w:rPr>
        <w:t xml:space="preserve"> have dealt with the matter of RoE basis</w:t>
      </w:r>
      <w:r w:rsidR="00C830AC" w:rsidRPr="00FC346C">
        <w:rPr>
          <w:rFonts w:ascii="Times New Roman" w:hAnsi="Times New Roman" w:cs="Times New Roman"/>
          <w:sz w:val="23"/>
          <w:szCs w:val="23"/>
        </w:rPr>
        <w:t xml:space="preserve"> the aforesaid</w:t>
      </w:r>
      <w:r w:rsidR="001303F3" w:rsidRPr="00FC346C">
        <w:rPr>
          <w:rFonts w:ascii="Times New Roman" w:hAnsi="Times New Roman" w:cs="Times New Roman"/>
          <w:sz w:val="23"/>
          <w:szCs w:val="23"/>
        </w:rPr>
        <w:t xml:space="preserve"> factors and have downwardly revised the RoE for the </w:t>
      </w:r>
      <w:r w:rsidR="009953DA" w:rsidRPr="00FC346C">
        <w:rPr>
          <w:rFonts w:ascii="Times New Roman" w:hAnsi="Times New Roman" w:cs="Times New Roman"/>
          <w:sz w:val="23"/>
          <w:szCs w:val="23"/>
        </w:rPr>
        <w:t>RTM</w:t>
      </w:r>
      <w:r w:rsidR="001303F3" w:rsidRPr="00FC346C">
        <w:rPr>
          <w:rFonts w:ascii="Times New Roman" w:hAnsi="Times New Roman" w:cs="Times New Roman"/>
          <w:sz w:val="23"/>
          <w:szCs w:val="23"/>
        </w:rPr>
        <w:t xml:space="preserve"> </w:t>
      </w:r>
      <w:r w:rsidR="009953DA" w:rsidRPr="00FC346C">
        <w:rPr>
          <w:rFonts w:ascii="Times New Roman" w:hAnsi="Times New Roman" w:cs="Times New Roman"/>
          <w:sz w:val="23"/>
          <w:szCs w:val="23"/>
        </w:rPr>
        <w:t xml:space="preserve">transmission </w:t>
      </w:r>
      <w:r w:rsidR="001303F3" w:rsidRPr="00FC346C">
        <w:rPr>
          <w:rFonts w:ascii="Times New Roman" w:hAnsi="Times New Roman" w:cs="Times New Roman"/>
          <w:sz w:val="23"/>
          <w:szCs w:val="23"/>
        </w:rPr>
        <w:t xml:space="preserve">projects. </w:t>
      </w:r>
      <w:r w:rsidR="00160DA1" w:rsidRPr="00FC346C">
        <w:rPr>
          <w:rFonts w:ascii="Times New Roman" w:hAnsi="Times New Roman" w:cs="Times New Roman"/>
          <w:sz w:val="23"/>
          <w:szCs w:val="23"/>
        </w:rPr>
        <w:t xml:space="preserve">Some references in this regard are as follows: </w:t>
      </w:r>
    </w:p>
    <w:p w14:paraId="4A92688C" w14:textId="77777777" w:rsidR="00160DA1" w:rsidRPr="00FC346C" w:rsidRDefault="00160DA1" w:rsidP="00352DD7">
      <w:pPr>
        <w:pStyle w:val="ListParagraph"/>
        <w:spacing w:after="0" w:line="360" w:lineRule="auto"/>
        <w:rPr>
          <w:rFonts w:ascii="Times New Roman" w:hAnsi="Times New Roman" w:cs="Times New Roman"/>
          <w:sz w:val="23"/>
          <w:szCs w:val="23"/>
        </w:rPr>
      </w:pPr>
    </w:p>
    <w:tbl>
      <w:tblPr>
        <w:tblStyle w:val="TableGrid"/>
        <w:tblW w:w="0" w:type="auto"/>
        <w:tblInd w:w="426" w:type="dxa"/>
        <w:tblLook w:val="04A0" w:firstRow="1" w:lastRow="0" w:firstColumn="1" w:lastColumn="0" w:noHBand="0" w:noVBand="1"/>
      </w:tblPr>
      <w:tblGrid>
        <w:gridCol w:w="2830"/>
        <w:gridCol w:w="5760"/>
      </w:tblGrid>
      <w:tr w:rsidR="007B4AD9" w:rsidRPr="00FC346C" w14:paraId="28083CCE" w14:textId="77777777" w:rsidTr="008C7D0B">
        <w:trPr>
          <w:tblHeader/>
        </w:trPr>
        <w:tc>
          <w:tcPr>
            <w:tcW w:w="2830" w:type="dxa"/>
            <w:shd w:val="clear" w:color="auto" w:fill="E7E6E6" w:themeFill="background2"/>
          </w:tcPr>
          <w:p w14:paraId="0A82CD89" w14:textId="26194816" w:rsidR="007B4AD9" w:rsidRPr="00FC346C" w:rsidRDefault="007B4AD9" w:rsidP="00352DD7">
            <w:pPr>
              <w:spacing w:line="360" w:lineRule="auto"/>
              <w:jc w:val="center"/>
              <w:rPr>
                <w:rFonts w:ascii="Times New Roman" w:hAnsi="Times New Roman" w:cs="Times New Roman"/>
                <w:b/>
                <w:bCs/>
                <w:sz w:val="23"/>
                <w:szCs w:val="23"/>
              </w:rPr>
            </w:pPr>
            <w:r w:rsidRPr="00FC346C">
              <w:rPr>
                <w:rFonts w:ascii="Times New Roman" w:hAnsi="Times New Roman" w:cs="Times New Roman"/>
                <w:b/>
                <w:bCs/>
                <w:sz w:val="23"/>
                <w:szCs w:val="23"/>
              </w:rPr>
              <w:t>Source</w:t>
            </w:r>
          </w:p>
        </w:tc>
        <w:tc>
          <w:tcPr>
            <w:tcW w:w="5760" w:type="dxa"/>
            <w:shd w:val="clear" w:color="auto" w:fill="E7E6E6" w:themeFill="background2"/>
          </w:tcPr>
          <w:p w14:paraId="5713A75B" w14:textId="26611BDE" w:rsidR="007B4AD9" w:rsidRPr="00FC346C" w:rsidRDefault="007B4AD9" w:rsidP="00352DD7">
            <w:pPr>
              <w:spacing w:line="360" w:lineRule="auto"/>
              <w:jc w:val="center"/>
              <w:rPr>
                <w:rFonts w:ascii="Times New Roman" w:hAnsi="Times New Roman" w:cs="Times New Roman"/>
                <w:b/>
                <w:bCs/>
                <w:sz w:val="23"/>
                <w:szCs w:val="23"/>
              </w:rPr>
            </w:pPr>
            <w:r w:rsidRPr="00FC346C">
              <w:rPr>
                <w:rFonts w:ascii="Times New Roman" w:hAnsi="Times New Roman" w:cs="Times New Roman"/>
                <w:b/>
                <w:bCs/>
                <w:sz w:val="23"/>
                <w:szCs w:val="23"/>
              </w:rPr>
              <w:t>Particulars</w:t>
            </w:r>
          </w:p>
        </w:tc>
      </w:tr>
      <w:tr w:rsidR="00E76FF3" w:rsidRPr="00FC346C" w14:paraId="50E9E885" w14:textId="77777777" w:rsidTr="008C7D0B">
        <w:tc>
          <w:tcPr>
            <w:tcW w:w="2830" w:type="dxa"/>
          </w:tcPr>
          <w:p w14:paraId="6B579540" w14:textId="76FDC812" w:rsidR="00E76FF3" w:rsidRPr="00FC346C" w:rsidRDefault="00E76FF3" w:rsidP="00E76FF3">
            <w:pPr>
              <w:spacing w:line="360" w:lineRule="auto"/>
              <w:jc w:val="center"/>
              <w:rPr>
                <w:rFonts w:ascii="Times New Roman" w:hAnsi="Times New Roman" w:cs="Times New Roman"/>
                <w:sz w:val="23"/>
                <w:szCs w:val="23"/>
              </w:rPr>
            </w:pPr>
            <w:r w:rsidRPr="00FC346C">
              <w:rPr>
                <w:rFonts w:ascii="Times New Roman" w:hAnsi="Times New Roman" w:cs="Times New Roman"/>
                <w:sz w:val="23"/>
                <w:szCs w:val="23"/>
              </w:rPr>
              <w:t>Regulation 35.1</w:t>
            </w:r>
            <w:r w:rsidR="00171D3F" w:rsidRPr="00FC346C">
              <w:rPr>
                <w:rFonts w:ascii="Times New Roman" w:hAnsi="Times New Roman" w:cs="Times New Roman"/>
                <w:sz w:val="23"/>
                <w:szCs w:val="23"/>
              </w:rPr>
              <w:t xml:space="preserve">, 35.2, </w:t>
            </w:r>
            <w:r w:rsidR="00F70EEC" w:rsidRPr="00FC346C">
              <w:rPr>
                <w:rFonts w:ascii="Times New Roman" w:hAnsi="Times New Roman" w:cs="Times New Roman"/>
                <w:sz w:val="23"/>
                <w:szCs w:val="23"/>
              </w:rPr>
              <w:t>35</w:t>
            </w:r>
            <w:r w:rsidR="00171D3F" w:rsidRPr="00FC346C">
              <w:rPr>
                <w:rFonts w:ascii="Times New Roman" w:hAnsi="Times New Roman" w:cs="Times New Roman"/>
                <w:sz w:val="23"/>
                <w:szCs w:val="23"/>
              </w:rPr>
              <w:t>.7</w:t>
            </w:r>
            <w:r w:rsidRPr="00FC346C">
              <w:rPr>
                <w:rFonts w:ascii="Times New Roman" w:hAnsi="Times New Roman" w:cs="Times New Roman"/>
                <w:sz w:val="23"/>
                <w:szCs w:val="23"/>
              </w:rPr>
              <w:t>, Draft GERC (Multi-Year Tariff) Regulations, 2023</w:t>
            </w:r>
          </w:p>
          <w:p w14:paraId="410E628D" w14:textId="77777777" w:rsidR="00E76FF3" w:rsidRPr="00FC346C" w:rsidRDefault="00E76FF3" w:rsidP="00E76FF3">
            <w:pPr>
              <w:spacing w:line="360" w:lineRule="auto"/>
              <w:jc w:val="center"/>
              <w:rPr>
                <w:rFonts w:ascii="Times New Roman" w:hAnsi="Times New Roman" w:cs="Times New Roman"/>
                <w:sz w:val="23"/>
                <w:szCs w:val="23"/>
              </w:rPr>
            </w:pPr>
          </w:p>
        </w:tc>
        <w:tc>
          <w:tcPr>
            <w:tcW w:w="5760" w:type="dxa"/>
          </w:tcPr>
          <w:p w14:paraId="2C2A7468" w14:textId="56A17C3E" w:rsidR="0084423E" w:rsidRPr="00FC346C" w:rsidRDefault="002F4484" w:rsidP="00E76FF3">
            <w:pPr>
              <w:spacing w:line="360" w:lineRule="auto"/>
              <w:jc w:val="both"/>
              <w:rPr>
                <w:rFonts w:ascii="Times New Roman" w:hAnsi="Times New Roman" w:cs="Times New Roman"/>
                <w:sz w:val="23"/>
                <w:szCs w:val="23"/>
              </w:rPr>
            </w:pPr>
            <w:r w:rsidRPr="00FC346C">
              <w:rPr>
                <w:rFonts w:ascii="Times New Roman" w:hAnsi="Times New Roman" w:cs="Times New Roman"/>
                <w:sz w:val="23"/>
                <w:szCs w:val="23"/>
              </w:rPr>
              <w:t>A maximum RoE of</w:t>
            </w:r>
            <w:r w:rsidR="00E76FF3" w:rsidRPr="00FC346C">
              <w:rPr>
                <w:rFonts w:ascii="Times New Roman" w:hAnsi="Times New Roman" w:cs="Times New Roman"/>
                <w:sz w:val="23"/>
                <w:szCs w:val="23"/>
              </w:rPr>
              <w:t xml:space="preserve"> </w:t>
            </w:r>
            <w:r w:rsidR="00E76FF3" w:rsidRPr="00FC346C">
              <w:rPr>
                <w:rFonts w:ascii="Times New Roman" w:hAnsi="Times New Roman" w:cs="Times New Roman"/>
                <w:b/>
                <w:bCs/>
                <w:sz w:val="23"/>
                <w:szCs w:val="23"/>
              </w:rPr>
              <w:t xml:space="preserve">13% </w:t>
            </w:r>
            <w:r w:rsidRPr="00FC346C">
              <w:rPr>
                <w:rFonts w:ascii="Times New Roman" w:hAnsi="Times New Roman" w:cs="Times New Roman"/>
                <w:sz w:val="23"/>
                <w:szCs w:val="23"/>
              </w:rPr>
              <w:t xml:space="preserve">has been proposed </w:t>
            </w:r>
            <w:r w:rsidR="00E76FF3" w:rsidRPr="00FC346C">
              <w:rPr>
                <w:rFonts w:ascii="Times New Roman" w:hAnsi="Times New Roman" w:cs="Times New Roman"/>
                <w:sz w:val="23"/>
                <w:szCs w:val="23"/>
              </w:rPr>
              <w:t>for the transmission business</w:t>
            </w:r>
            <w:r w:rsidR="00F70EEC" w:rsidRPr="00FC346C">
              <w:rPr>
                <w:rFonts w:ascii="Times New Roman" w:hAnsi="Times New Roman" w:cs="Times New Roman"/>
                <w:sz w:val="23"/>
                <w:szCs w:val="23"/>
              </w:rPr>
              <w:t xml:space="preserve"> – 11.5% being </w:t>
            </w:r>
            <w:r w:rsidR="00D86AC7" w:rsidRPr="00FC346C">
              <w:rPr>
                <w:rFonts w:ascii="Times New Roman" w:hAnsi="Times New Roman" w:cs="Times New Roman"/>
                <w:sz w:val="23"/>
                <w:szCs w:val="23"/>
              </w:rPr>
              <w:t>base</w:t>
            </w:r>
            <w:r w:rsidR="00F70EEC" w:rsidRPr="00FC346C">
              <w:rPr>
                <w:rFonts w:ascii="Times New Roman" w:hAnsi="Times New Roman" w:cs="Times New Roman"/>
                <w:sz w:val="23"/>
                <w:szCs w:val="23"/>
              </w:rPr>
              <w:t xml:space="preserve"> RoE and the remaining 1.5% RoE being linked to </w:t>
            </w:r>
            <w:r w:rsidR="00D86AC7" w:rsidRPr="00FC346C">
              <w:rPr>
                <w:rFonts w:ascii="Times New Roman" w:hAnsi="Times New Roman" w:cs="Times New Roman"/>
                <w:sz w:val="23"/>
                <w:szCs w:val="23"/>
              </w:rPr>
              <w:t xml:space="preserve">the </w:t>
            </w:r>
            <w:r w:rsidR="00F70EEC" w:rsidRPr="00FC346C">
              <w:rPr>
                <w:rFonts w:ascii="Times New Roman" w:hAnsi="Times New Roman" w:cs="Times New Roman"/>
                <w:sz w:val="23"/>
                <w:szCs w:val="23"/>
              </w:rPr>
              <w:t>performance of the transmission licensee</w:t>
            </w:r>
            <w:r w:rsidR="00D86AC7" w:rsidRPr="00FC346C">
              <w:rPr>
                <w:rFonts w:ascii="Times New Roman" w:hAnsi="Times New Roman" w:cs="Times New Roman"/>
                <w:sz w:val="23"/>
                <w:szCs w:val="23"/>
              </w:rPr>
              <w:t xml:space="preserve"> (to be considered during true-up)</w:t>
            </w:r>
            <w:r w:rsidR="00E76FF3" w:rsidRPr="00FC346C">
              <w:rPr>
                <w:rFonts w:ascii="Times New Roman" w:hAnsi="Times New Roman" w:cs="Times New Roman"/>
                <w:sz w:val="23"/>
                <w:szCs w:val="23"/>
              </w:rPr>
              <w:t xml:space="preserve">. </w:t>
            </w:r>
          </w:p>
          <w:p w14:paraId="3C98DBB2" w14:textId="77777777" w:rsidR="0084423E" w:rsidRPr="00FC346C" w:rsidRDefault="0084423E" w:rsidP="00E76FF3">
            <w:pPr>
              <w:spacing w:line="360" w:lineRule="auto"/>
              <w:jc w:val="both"/>
              <w:rPr>
                <w:rFonts w:ascii="Times New Roman" w:hAnsi="Times New Roman" w:cs="Times New Roman"/>
                <w:sz w:val="23"/>
                <w:szCs w:val="23"/>
              </w:rPr>
            </w:pPr>
          </w:p>
          <w:p w14:paraId="04E4F4C1" w14:textId="73C08AC7" w:rsidR="00F70EEC" w:rsidRPr="00FC346C" w:rsidRDefault="0099526F" w:rsidP="00E76FF3">
            <w:pPr>
              <w:spacing w:line="360" w:lineRule="auto"/>
              <w:jc w:val="both"/>
              <w:rPr>
                <w:rFonts w:ascii="Times New Roman" w:hAnsi="Times New Roman" w:cs="Times New Roman"/>
                <w:sz w:val="23"/>
                <w:szCs w:val="23"/>
              </w:rPr>
            </w:pPr>
            <w:r w:rsidRPr="00FC346C">
              <w:rPr>
                <w:rFonts w:ascii="Times New Roman" w:hAnsi="Times New Roman" w:cs="Times New Roman"/>
                <w:sz w:val="23"/>
                <w:szCs w:val="23"/>
              </w:rPr>
              <w:t>Notably, the Gujarat Electricity Regulatory Commission (</w:t>
            </w:r>
            <w:r w:rsidRPr="00FC346C">
              <w:rPr>
                <w:rFonts w:ascii="Times New Roman" w:hAnsi="Times New Roman" w:cs="Times New Roman"/>
                <w:b/>
                <w:bCs/>
                <w:sz w:val="23"/>
                <w:szCs w:val="23"/>
              </w:rPr>
              <w:t>GERC</w:t>
            </w:r>
            <w:r w:rsidRPr="00FC346C">
              <w:rPr>
                <w:rFonts w:ascii="Times New Roman" w:hAnsi="Times New Roman" w:cs="Times New Roman"/>
                <w:sz w:val="23"/>
                <w:szCs w:val="23"/>
              </w:rPr>
              <w:t>) has also relied on the CAPM model and arrived at significantly different findings.</w:t>
            </w:r>
          </w:p>
          <w:p w14:paraId="1572CA9F" w14:textId="77777777" w:rsidR="00F70EEC" w:rsidRPr="00FC346C" w:rsidRDefault="00F70EEC" w:rsidP="00E76FF3">
            <w:pPr>
              <w:spacing w:line="360" w:lineRule="auto"/>
              <w:jc w:val="both"/>
              <w:rPr>
                <w:rFonts w:ascii="Times New Roman" w:hAnsi="Times New Roman" w:cs="Times New Roman"/>
                <w:sz w:val="23"/>
                <w:szCs w:val="23"/>
              </w:rPr>
            </w:pPr>
          </w:p>
          <w:p w14:paraId="1A05B48F" w14:textId="50914B3C" w:rsidR="00E76FF3" w:rsidRPr="00FC346C" w:rsidRDefault="00E76FF3" w:rsidP="00E76FF3">
            <w:pPr>
              <w:spacing w:line="360" w:lineRule="auto"/>
              <w:jc w:val="both"/>
              <w:rPr>
                <w:rFonts w:ascii="Times New Roman" w:hAnsi="Times New Roman" w:cs="Times New Roman"/>
                <w:sz w:val="23"/>
                <w:szCs w:val="23"/>
              </w:rPr>
            </w:pPr>
            <w:r w:rsidRPr="00FC346C">
              <w:rPr>
                <w:rFonts w:ascii="Times New Roman" w:hAnsi="Times New Roman" w:cs="Times New Roman"/>
                <w:sz w:val="23"/>
                <w:szCs w:val="23"/>
              </w:rPr>
              <w:t xml:space="preserve">In the Explanatory Memorandum published in September 2023, </w:t>
            </w:r>
            <w:r w:rsidR="0099526F" w:rsidRPr="00FC346C">
              <w:rPr>
                <w:rFonts w:ascii="Times New Roman" w:hAnsi="Times New Roman" w:cs="Times New Roman"/>
                <w:sz w:val="23"/>
                <w:szCs w:val="23"/>
              </w:rPr>
              <w:t xml:space="preserve">GERC </w:t>
            </w:r>
            <w:r w:rsidRPr="00FC346C">
              <w:rPr>
                <w:rFonts w:ascii="Times New Roman" w:hAnsi="Times New Roman" w:cs="Times New Roman"/>
                <w:sz w:val="23"/>
                <w:szCs w:val="23"/>
              </w:rPr>
              <w:t xml:space="preserve">has also clearly noted as follows: </w:t>
            </w:r>
          </w:p>
          <w:p w14:paraId="67EC929C" w14:textId="77777777" w:rsidR="00E76FF3" w:rsidRPr="00FC346C" w:rsidRDefault="00E76FF3" w:rsidP="00E76FF3">
            <w:pPr>
              <w:spacing w:line="360" w:lineRule="auto"/>
              <w:jc w:val="both"/>
              <w:rPr>
                <w:rFonts w:ascii="Times New Roman" w:hAnsi="Times New Roman" w:cs="Times New Roman"/>
                <w:sz w:val="23"/>
                <w:szCs w:val="23"/>
              </w:rPr>
            </w:pPr>
            <w:r w:rsidRPr="00FC346C">
              <w:rPr>
                <w:rFonts w:ascii="Times New Roman" w:hAnsi="Times New Roman" w:cs="Times New Roman"/>
                <w:sz w:val="23"/>
                <w:szCs w:val="23"/>
              </w:rPr>
              <w:t xml:space="preserve"> </w:t>
            </w:r>
          </w:p>
          <w:p w14:paraId="79C16181" w14:textId="4028851F" w:rsidR="00E76FF3" w:rsidRPr="00FC346C" w:rsidRDefault="00E76FF3" w:rsidP="00E76FF3">
            <w:pPr>
              <w:pStyle w:val="ListParagraph"/>
              <w:numPr>
                <w:ilvl w:val="0"/>
                <w:numId w:val="7"/>
              </w:numPr>
              <w:spacing w:line="360" w:lineRule="auto"/>
              <w:jc w:val="both"/>
              <w:rPr>
                <w:rFonts w:ascii="Times New Roman" w:hAnsi="Times New Roman" w:cs="Times New Roman"/>
                <w:sz w:val="23"/>
                <w:szCs w:val="23"/>
              </w:rPr>
            </w:pPr>
            <w:r w:rsidRPr="00FC346C">
              <w:rPr>
                <w:rFonts w:ascii="Times New Roman" w:hAnsi="Times New Roman" w:cs="Times New Roman"/>
                <w:sz w:val="23"/>
                <w:szCs w:val="23"/>
              </w:rPr>
              <w:t xml:space="preserve">Para. 4.5.17 notes that the GERC has </w:t>
            </w:r>
            <w:r w:rsidR="00F04E93" w:rsidRPr="00FC346C">
              <w:rPr>
                <w:rFonts w:ascii="Times New Roman" w:hAnsi="Times New Roman" w:cs="Times New Roman"/>
                <w:sz w:val="23"/>
                <w:szCs w:val="23"/>
              </w:rPr>
              <w:t>analysed</w:t>
            </w:r>
            <w:r w:rsidRPr="00FC346C">
              <w:rPr>
                <w:rFonts w:ascii="Times New Roman" w:hAnsi="Times New Roman" w:cs="Times New Roman"/>
                <w:sz w:val="23"/>
                <w:szCs w:val="23"/>
              </w:rPr>
              <w:t xml:space="preserve"> the data for various listed entities and </w:t>
            </w:r>
            <w:r w:rsidR="00F04E93" w:rsidRPr="00FC346C">
              <w:rPr>
                <w:rFonts w:ascii="Times New Roman" w:hAnsi="Times New Roman" w:cs="Times New Roman"/>
                <w:sz w:val="23"/>
                <w:szCs w:val="23"/>
              </w:rPr>
              <w:t>has</w:t>
            </w:r>
            <w:r w:rsidRPr="00FC346C">
              <w:rPr>
                <w:rFonts w:ascii="Times New Roman" w:hAnsi="Times New Roman" w:cs="Times New Roman"/>
                <w:sz w:val="23"/>
                <w:szCs w:val="23"/>
              </w:rPr>
              <w:t xml:space="preserve"> considered a period of the same 13 years (2010-2023) for each of the components of CAPM, i.e., risk free rate, equity beta and market risk premium, as most of the listed companies shortlisted have become operational post 2010. Further, the GERC intended exclude the period of uncertainty due to 2008 financial crisis.</w:t>
            </w:r>
          </w:p>
          <w:p w14:paraId="0AC69537" w14:textId="77777777" w:rsidR="00E76FF3" w:rsidRPr="00FC346C" w:rsidRDefault="00E76FF3" w:rsidP="00E76FF3">
            <w:pPr>
              <w:pStyle w:val="ListParagraph"/>
              <w:spacing w:line="360" w:lineRule="auto"/>
              <w:ind w:left="360"/>
              <w:jc w:val="both"/>
              <w:rPr>
                <w:rFonts w:ascii="Times New Roman" w:hAnsi="Times New Roman" w:cs="Times New Roman"/>
                <w:sz w:val="23"/>
                <w:szCs w:val="23"/>
              </w:rPr>
            </w:pPr>
          </w:p>
          <w:p w14:paraId="7F57227D" w14:textId="77777777" w:rsidR="00E76FF3" w:rsidRPr="00FC346C" w:rsidRDefault="00E76FF3" w:rsidP="00E76FF3">
            <w:pPr>
              <w:pStyle w:val="ListParagraph"/>
              <w:numPr>
                <w:ilvl w:val="0"/>
                <w:numId w:val="7"/>
              </w:numPr>
              <w:spacing w:line="360" w:lineRule="auto"/>
              <w:jc w:val="both"/>
              <w:rPr>
                <w:rFonts w:ascii="Times New Roman" w:hAnsi="Times New Roman" w:cs="Times New Roman"/>
                <w:sz w:val="23"/>
                <w:szCs w:val="23"/>
              </w:rPr>
            </w:pPr>
            <w:r w:rsidRPr="00FC346C">
              <w:rPr>
                <w:rFonts w:ascii="Times New Roman" w:hAnsi="Times New Roman" w:cs="Times New Roman"/>
                <w:sz w:val="23"/>
                <w:szCs w:val="23"/>
              </w:rPr>
              <w:t>Para. 4.5.16 elucidates the approach for estimating the beta for power sector utilities using data of listed Indian companies:</w:t>
            </w:r>
          </w:p>
          <w:p w14:paraId="4CD30880" w14:textId="77777777" w:rsidR="00E76FF3" w:rsidRPr="00FC346C" w:rsidRDefault="00E76FF3" w:rsidP="00E76FF3">
            <w:pPr>
              <w:spacing w:line="360" w:lineRule="auto"/>
              <w:ind w:left="720"/>
              <w:jc w:val="both"/>
              <w:rPr>
                <w:rFonts w:ascii="Times New Roman" w:hAnsi="Times New Roman" w:cs="Times New Roman"/>
                <w:sz w:val="23"/>
                <w:szCs w:val="23"/>
              </w:rPr>
            </w:pPr>
            <w:r w:rsidRPr="00FC346C">
              <w:rPr>
                <w:rFonts w:ascii="Times New Roman" w:hAnsi="Times New Roman" w:cs="Times New Roman"/>
                <w:sz w:val="23"/>
                <w:szCs w:val="23"/>
              </w:rPr>
              <w:t>a. Calculate equity beta for major listed firms and determine average of equity betas.</w:t>
            </w:r>
          </w:p>
          <w:p w14:paraId="56F9F057" w14:textId="77777777" w:rsidR="00E76FF3" w:rsidRPr="00FC346C" w:rsidRDefault="00E76FF3" w:rsidP="00E76FF3">
            <w:pPr>
              <w:spacing w:line="360" w:lineRule="auto"/>
              <w:ind w:left="720"/>
              <w:jc w:val="both"/>
              <w:rPr>
                <w:rFonts w:ascii="Times New Roman" w:hAnsi="Times New Roman" w:cs="Times New Roman"/>
                <w:sz w:val="23"/>
                <w:szCs w:val="23"/>
              </w:rPr>
            </w:pPr>
            <w:r w:rsidRPr="00FC346C">
              <w:rPr>
                <w:rFonts w:ascii="Times New Roman" w:hAnsi="Times New Roman" w:cs="Times New Roman"/>
                <w:sz w:val="23"/>
                <w:szCs w:val="23"/>
              </w:rPr>
              <w:t>b. Calculate each firm’s financial leverage and determine the average of financial leverage.</w:t>
            </w:r>
          </w:p>
          <w:p w14:paraId="4D860B47" w14:textId="77777777" w:rsidR="00E76FF3" w:rsidRPr="00FC346C" w:rsidRDefault="00E76FF3" w:rsidP="00E76FF3">
            <w:pPr>
              <w:spacing w:line="360" w:lineRule="auto"/>
              <w:ind w:left="720"/>
              <w:jc w:val="both"/>
              <w:rPr>
                <w:rFonts w:ascii="Times New Roman" w:hAnsi="Times New Roman" w:cs="Times New Roman"/>
                <w:sz w:val="23"/>
                <w:szCs w:val="23"/>
              </w:rPr>
            </w:pPr>
            <w:r w:rsidRPr="00FC346C">
              <w:rPr>
                <w:rFonts w:ascii="Times New Roman" w:hAnsi="Times New Roman" w:cs="Times New Roman"/>
                <w:sz w:val="23"/>
                <w:szCs w:val="23"/>
              </w:rPr>
              <w:t xml:space="preserve">c. Un-lever the average equity beta using average financial leverage to get average un-levered beta. Formula is </w:t>
            </w:r>
            <w:r w:rsidRPr="00FC346C">
              <w:rPr>
                <w:rFonts w:ascii="Times New Roman" w:hAnsi="Times New Roman" w:cs="Times New Roman"/>
                <w:i/>
                <w:iCs/>
                <w:sz w:val="23"/>
                <w:szCs w:val="23"/>
              </w:rPr>
              <w:t>Unlevered Beta = Levered or Equity Beta / (1 + (1 – Tax Rate) x (Debt/Equity)).</w:t>
            </w:r>
            <w:r w:rsidRPr="00FC346C">
              <w:rPr>
                <w:rFonts w:ascii="Times New Roman" w:hAnsi="Times New Roman" w:cs="Times New Roman"/>
                <w:sz w:val="23"/>
                <w:szCs w:val="23"/>
              </w:rPr>
              <w:t xml:space="preserve"> </w:t>
            </w:r>
          </w:p>
          <w:p w14:paraId="2A6B7C2F" w14:textId="77777777" w:rsidR="00E76FF3" w:rsidRPr="00FC346C" w:rsidRDefault="00E76FF3" w:rsidP="00E76FF3">
            <w:pPr>
              <w:spacing w:line="360" w:lineRule="auto"/>
              <w:ind w:left="720"/>
              <w:jc w:val="both"/>
              <w:rPr>
                <w:rFonts w:ascii="Times New Roman" w:hAnsi="Times New Roman" w:cs="Times New Roman"/>
                <w:sz w:val="23"/>
                <w:szCs w:val="23"/>
              </w:rPr>
            </w:pPr>
            <w:r w:rsidRPr="00FC346C">
              <w:rPr>
                <w:rFonts w:ascii="Times New Roman" w:hAnsi="Times New Roman" w:cs="Times New Roman"/>
                <w:sz w:val="23"/>
                <w:szCs w:val="23"/>
              </w:rPr>
              <w:t>d. Re-lever the average un-levered beta using normative financial leverage.</w:t>
            </w:r>
          </w:p>
          <w:p w14:paraId="7887E54C" w14:textId="77777777" w:rsidR="00E76FF3" w:rsidRPr="00FC346C" w:rsidRDefault="00E76FF3" w:rsidP="00E76FF3">
            <w:pPr>
              <w:spacing w:line="360" w:lineRule="auto"/>
              <w:jc w:val="both"/>
              <w:rPr>
                <w:rFonts w:ascii="Times New Roman" w:hAnsi="Times New Roman" w:cs="Times New Roman"/>
                <w:sz w:val="23"/>
                <w:szCs w:val="23"/>
              </w:rPr>
            </w:pPr>
          </w:p>
          <w:p w14:paraId="5FE78BC5" w14:textId="79919149" w:rsidR="00E76FF3" w:rsidRPr="00FC346C" w:rsidRDefault="00171D3F" w:rsidP="00E76FF3">
            <w:pPr>
              <w:pStyle w:val="ListParagraph"/>
              <w:numPr>
                <w:ilvl w:val="0"/>
                <w:numId w:val="7"/>
              </w:numPr>
              <w:spacing w:line="360" w:lineRule="auto"/>
              <w:jc w:val="both"/>
              <w:rPr>
                <w:rFonts w:ascii="Times New Roman" w:hAnsi="Times New Roman" w:cs="Times New Roman"/>
                <w:sz w:val="23"/>
                <w:szCs w:val="23"/>
              </w:rPr>
            </w:pPr>
            <w:r w:rsidRPr="00FC346C">
              <w:rPr>
                <w:rFonts w:ascii="Times New Roman" w:hAnsi="Times New Roman" w:cs="Times New Roman"/>
                <w:sz w:val="23"/>
                <w:szCs w:val="23"/>
              </w:rPr>
              <w:t>Para.</w:t>
            </w:r>
            <w:r w:rsidR="0099526F" w:rsidRPr="00FC346C">
              <w:rPr>
                <w:rFonts w:ascii="Times New Roman" w:hAnsi="Times New Roman" w:cs="Times New Roman"/>
                <w:sz w:val="23"/>
                <w:szCs w:val="23"/>
              </w:rPr>
              <w:t xml:space="preserve"> </w:t>
            </w:r>
            <w:r w:rsidR="00D86AC7" w:rsidRPr="00FC346C">
              <w:rPr>
                <w:rFonts w:ascii="Times New Roman" w:hAnsi="Times New Roman" w:cs="Times New Roman"/>
                <w:sz w:val="23"/>
                <w:szCs w:val="23"/>
              </w:rPr>
              <w:t>4.5.19</w:t>
            </w:r>
            <w:r w:rsidRPr="00FC346C">
              <w:rPr>
                <w:rFonts w:ascii="Times New Roman" w:hAnsi="Times New Roman" w:cs="Times New Roman"/>
                <w:sz w:val="23"/>
                <w:szCs w:val="23"/>
              </w:rPr>
              <w:t xml:space="preserve"> </w:t>
            </w:r>
            <w:r w:rsidR="0099526F" w:rsidRPr="00FC346C">
              <w:rPr>
                <w:rFonts w:ascii="Times New Roman" w:hAnsi="Times New Roman" w:cs="Times New Roman"/>
                <w:sz w:val="23"/>
                <w:szCs w:val="23"/>
              </w:rPr>
              <w:t>states that</w:t>
            </w:r>
            <w:r w:rsidR="00E76FF3" w:rsidRPr="00FC346C">
              <w:rPr>
                <w:rFonts w:ascii="Times New Roman" w:hAnsi="Times New Roman" w:cs="Times New Roman"/>
                <w:sz w:val="23"/>
                <w:szCs w:val="23"/>
              </w:rPr>
              <w:t xml:space="preserve"> </w:t>
            </w:r>
            <w:r w:rsidR="0084423E" w:rsidRPr="00FC346C">
              <w:rPr>
                <w:rFonts w:ascii="Times New Roman" w:hAnsi="Times New Roman" w:cs="Times New Roman"/>
                <w:b/>
                <w:bCs/>
                <w:sz w:val="23"/>
                <w:szCs w:val="23"/>
              </w:rPr>
              <w:t>under t</w:t>
            </w:r>
            <w:r w:rsidR="00E76FF3" w:rsidRPr="00FC346C">
              <w:rPr>
                <w:rFonts w:ascii="Times New Roman" w:hAnsi="Times New Roman" w:cs="Times New Roman"/>
                <w:b/>
                <w:bCs/>
                <w:sz w:val="23"/>
                <w:szCs w:val="23"/>
              </w:rPr>
              <w:t>he CAPM model, the expected return works out to be 13.003%</w:t>
            </w:r>
            <w:r w:rsidRPr="00FC346C">
              <w:rPr>
                <w:rFonts w:ascii="Times New Roman" w:hAnsi="Times New Roman" w:cs="Times New Roman"/>
                <w:b/>
                <w:bCs/>
                <w:sz w:val="23"/>
                <w:szCs w:val="23"/>
              </w:rPr>
              <w:t>.</w:t>
            </w:r>
          </w:p>
        </w:tc>
      </w:tr>
      <w:tr w:rsidR="00E76FF3" w:rsidRPr="00FC346C" w14:paraId="403F1BAA" w14:textId="77777777" w:rsidTr="008C7D0B">
        <w:tc>
          <w:tcPr>
            <w:tcW w:w="2830" w:type="dxa"/>
          </w:tcPr>
          <w:p w14:paraId="5F117025" w14:textId="7B42170A" w:rsidR="00E76FF3" w:rsidRPr="00FC346C" w:rsidRDefault="00E76FF3" w:rsidP="00E76FF3">
            <w:pPr>
              <w:spacing w:line="360" w:lineRule="auto"/>
              <w:jc w:val="center"/>
              <w:rPr>
                <w:rFonts w:ascii="Times New Roman" w:hAnsi="Times New Roman" w:cs="Times New Roman"/>
                <w:sz w:val="23"/>
                <w:szCs w:val="23"/>
              </w:rPr>
            </w:pPr>
            <w:r w:rsidRPr="00FC346C">
              <w:rPr>
                <w:rFonts w:ascii="Times New Roman" w:hAnsi="Times New Roman" w:cs="Times New Roman"/>
                <w:sz w:val="23"/>
                <w:szCs w:val="23"/>
              </w:rPr>
              <w:t>Regulation 12, DERC (Business Plan) Regulations, 2023 (</w:t>
            </w:r>
            <w:r w:rsidRPr="00FC346C">
              <w:rPr>
                <w:rFonts w:ascii="Times New Roman" w:hAnsi="Times New Roman" w:cs="Times New Roman"/>
                <w:b/>
                <w:bCs/>
                <w:sz w:val="23"/>
                <w:szCs w:val="23"/>
              </w:rPr>
              <w:t>DERC BPR</w:t>
            </w:r>
            <w:r w:rsidRPr="00FC346C">
              <w:rPr>
                <w:rFonts w:ascii="Times New Roman" w:hAnsi="Times New Roman" w:cs="Times New Roman"/>
                <w:sz w:val="23"/>
                <w:szCs w:val="23"/>
              </w:rPr>
              <w:t>)</w:t>
            </w:r>
          </w:p>
        </w:tc>
        <w:tc>
          <w:tcPr>
            <w:tcW w:w="5760" w:type="dxa"/>
          </w:tcPr>
          <w:p w14:paraId="0ACDE91C" w14:textId="77777777" w:rsidR="00E76FF3" w:rsidRPr="00FC346C" w:rsidRDefault="00E76FF3" w:rsidP="00E76FF3">
            <w:pPr>
              <w:spacing w:line="360" w:lineRule="auto"/>
              <w:jc w:val="both"/>
              <w:rPr>
                <w:rFonts w:ascii="Times New Roman" w:hAnsi="Times New Roman" w:cs="Times New Roman"/>
                <w:sz w:val="23"/>
                <w:szCs w:val="23"/>
              </w:rPr>
            </w:pPr>
            <w:r w:rsidRPr="00FC346C">
              <w:rPr>
                <w:rFonts w:ascii="Times New Roman" w:hAnsi="Times New Roman" w:cs="Times New Roman"/>
                <w:sz w:val="23"/>
                <w:szCs w:val="23"/>
              </w:rPr>
              <w:t>The Delhi Electricity Regulatory Commission (</w:t>
            </w:r>
            <w:r w:rsidRPr="00FC346C">
              <w:rPr>
                <w:rFonts w:ascii="Times New Roman" w:hAnsi="Times New Roman" w:cs="Times New Roman"/>
                <w:b/>
                <w:bCs/>
                <w:sz w:val="23"/>
                <w:szCs w:val="23"/>
              </w:rPr>
              <w:t>DERC</w:t>
            </w:r>
            <w:r w:rsidRPr="00FC346C">
              <w:rPr>
                <w:rFonts w:ascii="Times New Roman" w:hAnsi="Times New Roman" w:cs="Times New Roman"/>
                <w:sz w:val="23"/>
                <w:szCs w:val="23"/>
              </w:rPr>
              <w:t xml:space="preserve">) in DERC BPR has reduced RoE for Transmission/ Generation projects to </w:t>
            </w:r>
            <w:r w:rsidRPr="00FC346C">
              <w:rPr>
                <w:rFonts w:ascii="Times New Roman" w:hAnsi="Times New Roman" w:cs="Times New Roman"/>
                <w:b/>
                <w:bCs/>
                <w:sz w:val="23"/>
                <w:szCs w:val="23"/>
              </w:rPr>
              <w:t>13%</w:t>
            </w:r>
            <w:r w:rsidRPr="00FC346C">
              <w:rPr>
                <w:rFonts w:ascii="Times New Roman" w:hAnsi="Times New Roman" w:cs="Times New Roman"/>
                <w:sz w:val="23"/>
                <w:szCs w:val="23"/>
              </w:rPr>
              <w:t xml:space="preserve"> (Post Tax), from the earlier 14% (Post Tax). The DERC has adopted CAPM method to determine the RoE.</w:t>
            </w:r>
          </w:p>
          <w:p w14:paraId="4C3999FB" w14:textId="77777777" w:rsidR="00E76FF3" w:rsidRPr="00FC346C" w:rsidRDefault="00E76FF3" w:rsidP="00E76FF3">
            <w:pPr>
              <w:spacing w:line="360" w:lineRule="auto"/>
              <w:jc w:val="both"/>
              <w:rPr>
                <w:rFonts w:ascii="Times New Roman" w:hAnsi="Times New Roman" w:cs="Times New Roman"/>
                <w:sz w:val="23"/>
                <w:szCs w:val="23"/>
              </w:rPr>
            </w:pPr>
          </w:p>
          <w:p w14:paraId="3AC1E370" w14:textId="5596E243" w:rsidR="00E76FF3" w:rsidRPr="00FC346C" w:rsidRDefault="00E76FF3" w:rsidP="00E76FF3">
            <w:pPr>
              <w:spacing w:line="360" w:lineRule="auto"/>
              <w:jc w:val="both"/>
              <w:rPr>
                <w:rFonts w:ascii="Times New Roman" w:hAnsi="Times New Roman" w:cs="Times New Roman"/>
                <w:sz w:val="23"/>
                <w:szCs w:val="23"/>
              </w:rPr>
            </w:pPr>
            <w:r w:rsidRPr="00FC346C">
              <w:rPr>
                <w:rFonts w:ascii="Times New Roman" w:hAnsi="Times New Roman" w:cs="Times New Roman"/>
                <w:sz w:val="23"/>
                <w:szCs w:val="23"/>
              </w:rPr>
              <w:t xml:space="preserve">In the Explanatory Memorandum dated 13.01.2023, the DERC has also clearly noted as follows: </w:t>
            </w:r>
          </w:p>
          <w:p w14:paraId="7D72D0D8" w14:textId="77777777" w:rsidR="00E76FF3" w:rsidRPr="00FC346C" w:rsidRDefault="00E76FF3" w:rsidP="00E76FF3">
            <w:pPr>
              <w:spacing w:line="360" w:lineRule="auto"/>
              <w:jc w:val="both"/>
              <w:rPr>
                <w:rFonts w:ascii="Times New Roman" w:hAnsi="Times New Roman" w:cs="Times New Roman"/>
                <w:sz w:val="23"/>
                <w:szCs w:val="23"/>
              </w:rPr>
            </w:pPr>
          </w:p>
          <w:p w14:paraId="025F766F" w14:textId="77777777" w:rsidR="00E76FF3" w:rsidRPr="00FC346C" w:rsidRDefault="00E76FF3" w:rsidP="00E76FF3">
            <w:pPr>
              <w:pStyle w:val="ListParagraph"/>
              <w:numPr>
                <w:ilvl w:val="0"/>
                <w:numId w:val="3"/>
              </w:numPr>
              <w:spacing w:line="360" w:lineRule="auto"/>
              <w:jc w:val="both"/>
              <w:rPr>
                <w:rFonts w:ascii="Times New Roman" w:hAnsi="Times New Roman" w:cs="Times New Roman"/>
                <w:sz w:val="23"/>
                <w:szCs w:val="23"/>
              </w:rPr>
            </w:pPr>
            <w:r w:rsidRPr="00FC346C">
              <w:rPr>
                <w:rFonts w:ascii="Times New Roman" w:hAnsi="Times New Roman" w:cs="Times New Roman"/>
                <w:sz w:val="23"/>
                <w:szCs w:val="23"/>
              </w:rPr>
              <w:t xml:space="preserve">In exercise of powers conferred under Section 3(3) of Electricity Act, 2003, the Central Government notified the revised NTP on 28.01.2016. </w:t>
            </w:r>
          </w:p>
          <w:p w14:paraId="2F3B5FE4" w14:textId="77777777" w:rsidR="00E76FF3" w:rsidRPr="00FC346C" w:rsidRDefault="00E76FF3" w:rsidP="00E76FF3">
            <w:pPr>
              <w:pStyle w:val="ListParagraph"/>
              <w:spacing w:line="360" w:lineRule="auto"/>
              <w:ind w:left="360"/>
              <w:jc w:val="both"/>
              <w:rPr>
                <w:rFonts w:ascii="Times New Roman" w:hAnsi="Times New Roman" w:cs="Times New Roman"/>
                <w:sz w:val="23"/>
                <w:szCs w:val="23"/>
              </w:rPr>
            </w:pPr>
          </w:p>
          <w:p w14:paraId="3116FD3E" w14:textId="2D430C9F" w:rsidR="00E76FF3" w:rsidRPr="00FC346C" w:rsidRDefault="00E76FF3" w:rsidP="00E76FF3">
            <w:pPr>
              <w:pStyle w:val="ListParagraph"/>
              <w:numPr>
                <w:ilvl w:val="0"/>
                <w:numId w:val="3"/>
              </w:numPr>
              <w:spacing w:line="360" w:lineRule="auto"/>
              <w:jc w:val="both"/>
              <w:rPr>
                <w:rFonts w:ascii="Times New Roman" w:hAnsi="Times New Roman" w:cs="Times New Roman"/>
                <w:sz w:val="23"/>
                <w:szCs w:val="23"/>
              </w:rPr>
            </w:pPr>
            <w:r w:rsidRPr="00FC346C">
              <w:rPr>
                <w:rFonts w:ascii="Times New Roman" w:hAnsi="Times New Roman" w:cs="Times New Roman"/>
                <w:sz w:val="23"/>
                <w:szCs w:val="23"/>
              </w:rPr>
              <w:t xml:space="preserve">The NTP mandates prescription of an appropriate return on investment. The NTP has also mandated the Distribution Licensees to procure their future requirement of power through TBCB. </w:t>
            </w:r>
          </w:p>
          <w:p w14:paraId="59FE0FD5" w14:textId="77777777" w:rsidR="00E76FF3" w:rsidRPr="00FC346C" w:rsidRDefault="00E76FF3" w:rsidP="00E76FF3">
            <w:pPr>
              <w:pStyle w:val="ListParagraph"/>
              <w:spacing w:line="360" w:lineRule="auto"/>
              <w:rPr>
                <w:rFonts w:ascii="Times New Roman" w:hAnsi="Times New Roman" w:cs="Times New Roman"/>
                <w:sz w:val="23"/>
                <w:szCs w:val="23"/>
              </w:rPr>
            </w:pPr>
          </w:p>
          <w:p w14:paraId="7458BF7C" w14:textId="13066698" w:rsidR="00E76FF3" w:rsidRPr="00FC346C" w:rsidRDefault="00E76FF3" w:rsidP="00E76FF3">
            <w:pPr>
              <w:pStyle w:val="ListParagraph"/>
              <w:numPr>
                <w:ilvl w:val="0"/>
                <w:numId w:val="3"/>
              </w:numPr>
              <w:spacing w:line="360" w:lineRule="auto"/>
              <w:jc w:val="both"/>
              <w:rPr>
                <w:rFonts w:ascii="Times New Roman" w:hAnsi="Times New Roman" w:cs="Times New Roman"/>
                <w:sz w:val="23"/>
                <w:szCs w:val="23"/>
              </w:rPr>
            </w:pPr>
            <w:r w:rsidRPr="00FC346C">
              <w:rPr>
                <w:rFonts w:ascii="Times New Roman" w:hAnsi="Times New Roman" w:cs="Times New Roman"/>
                <w:sz w:val="23"/>
                <w:szCs w:val="23"/>
              </w:rPr>
              <w:t>The market forces are likely to exert downward pressure on the Internal Rate of Return (</w:t>
            </w:r>
            <w:r w:rsidRPr="00FC346C">
              <w:rPr>
                <w:rFonts w:ascii="Times New Roman" w:hAnsi="Times New Roman" w:cs="Times New Roman"/>
                <w:b/>
                <w:bCs/>
                <w:sz w:val="23"/>
                <w:szCs w:val="23"/>
              </w:rPr>
              <w:t>IRR</w:t>
            </w:r>
            <w:r w:rsidRPr="00FC346C">
              <w:rPr>
                <w:rFonts w:ascii="Times New Roman" w:hAnsi="Times New Roman" w:cs="Times New Roman"/>
                <w:sz w:val="23"/>
                <w:szCs w:val="23"/>
              </w:rPr>
              <w:t>) of the new projects.</w:t>
            </w:r>
          </w:p>
          <w:p w14:paraId="0BB6E7B2" w14:textId="77777777" w:rsidR="00E76FF3" w:rsidRPr="00FC346C" w:rsidRDefault="00E76FF3" w:rsidP="00E76FF3">
            <w:pPr>
              <w:pStyle w:val="ListParagraph"/>
              <w:spacing w:line="360" w:lineRule="auto"/>
              <w:rPr>
                <w:rFonts w:ascii="Times New Roman" w:hAnsi="Times New Roman" w:cs="Times New Roman"/>
                <w:sz w:val="23"/>
                <w:szCs w:val="23"/>
              </w:rPr>
            </w:pPr>
          </w:p>
          <w:p w14:paraId="55510390" w14:textId="77777777" w:rsidR="00E76FF3" w:rsidRPr="00FC346C" w:rsidRDefault="00E76FF3" w:rsidP="00E76FF3">
            <w:pPr>
              <w:pStyle w:val="ListParagraph"/>
              <w:numPr>
                <w:ilvl w:val="0"/>
                <w:numId w:val="3"/>
              </w:numPr>
              <w:spacing w:line="360" w:lineRule="auto"/>
              <w:jc w:val="both"/>
              <w:rPr>
                <w:rFonts w:ascii="Times New Roman" w:hAnsi="Times New Roman" w:cs="Times New Roman"/>
                <w:sz w:val="23"/>
                <w:szCs w:val="23"/>
              </w:rPr>
            </w:pPr>
            <w:r w:rsidRPr="00FC346C">
              <w:rPr>
                <w:rFonts w:ascii="Times New Roman" w:hAnsi="Times New Roman" w:cs="Times New Roman"/>
                <w:sz w:val="23"/>
                <w:szCs w:val="23"/>
              </w:rPr>
              <w:t xml:space="preserve">Further, the rate of interest has also come down in recent times. </w:t>
            </w:r>
          </w:p>
          <w:p w14:paraId="20029BEF" w14:textId="77777777" w:rsidR="00E76FF3" w:rsidRPr="00FC346C" w:rsidRDefault="00E76FF3" w:rsidP="00E76FF3">
            <w:pPr>
              <w:pStyle w:val="ListParagraph"/>
              <w:spacing w:line="360" w:lineRule="auto"/>
              <w:rPr>
                <w:rFonts w:ascii="Times New Roman" w:hAnsi="Times New Roman" w:cs="Times New Roman"/>
                <w:sz w:val="23"/>
                <w:szCs w:val="23"/>
              </w:rPr>
            </w:pPr>
          </w:p>
          <w:p w14:paraId="178B26EF" w14:textId="3024D7F6" w:rsidR="00E76FF3" w:rsidRPr="00FC346C" w:rsidRDefault="00E76FF3" w:rsidP="00E76FF3">
            <w:pPr>
              <w:pStyle w:val="ListParagraph"/>
              <w:numPr>
                <w:ilvl w:val="0"/>
                <w:numId w:val="3"/>
              </w:numPr>
              <w:spacing w:line="360" w:lineRule="auto"/>
              <w:jc w:val="both"/>
              <w:rPr>
                <w:rFonts w:ascii="Times New Roman" w:hAnsi="Times New Roman" w:cs="Times New Roman"/>
                <w:sz w:val="23"/>
                <w:szCs w:val="23"/>
              </w:rPr>
            </w:pPr>
            <w:r w:rsidRPr="00FC346C">
              <w:rPr>
                <w:rFonts w:ascii="Times New Roman" w:hAnsi="Times New Roman" w:cs="Times New Roman"/>
                <w:sz w:val="23"/>
                <w:szCs w:val="23"/>
              </w:rPr>
              <w:t>Therefore, there is market dynamics that favours reduction of rate of return.</w:t>
            </w:r>
          </w:p>
          <w:p w14:paraId="3B0815F5" w14:textId="5961A99C" w:rsidR="00E76FF3" w:rsidRPr="00FC346C" w:rsidRDefault="00E76FF3" w:rsidP="00E76FF3">
            <w:pPr>
              <w:spacing w:line="360" w:lineRule="auto"/>
              <w:jc w:val="both"/>
              <w:rPr>
                <w:rFonts w:ascii="Times New Roman" w:hAnsi="Times New Roman" w:cs="Times New Roman"/>
                <w:sz w:val="23"/>
                <w:szCs w:val="23"/>
              </w:rPr>
            </w:pPr>
          </w:p>
        </w:tc>
      </w:tr>
      <w:tr w:rsidR="00E76FF3" w:rsidRPr="00FC346C" w14:paraId="65161668" w14:textId="77777777" w:rsidTr="008C7D0B">
        <w:tc>
          <w:tcPr>
            <w:tcW w:w="2830" w:type="dxa"/>
          </w:tcPr>
          <w:p w14:paraId="2176515A" w14:textId="7E6B5B33" w:rsidR="00E76FF3" w:rsidRPr="00FC346C" w:rsidRDefault="00E76FF3" w:rsidP="00E76FF3">
            <w:pPr>
              <w:spacing w:line="360" w:lineRule="auto"/>
              <w:jc w:val="center"/>
              <w:rPr>
                <w:rFonts w:ascii="Times New Roman" w:hAnsi="Times New Roman" w:cs="Times New Roman"/>
                <w:sz w:val="23"/>
                <w:szCs w:val="23"/>
              </w:rPr>
            </w:pPr>
            <w:r w:rsidRPr="00FC346C">
              <w:rPr>
                <w:rFonts w:ascii="Times New Roman" w:hAnsi="Times New Roman" w:cs="Times New Roman"/>
                <w:sz w:val="23"/>
                <w:szCs w:val="23"/>
              </w:rPr>
              <w:t xml:space="preserve">Regulation 20.1(d), HERC (Terms and Conditions for Determination of Tariff for Generation, Transmission, </w:t>
            </w:r>
            <w:proofErr w:type="gramStart"/>
            <w:r w:rsidRPr="00FC346C">
              <w:rPr>
                <w:rFonts w:ascii="Times New Roman" w:hAnsi="Times New Roman" w:cs="Times New Roman"/>
                <w:sz w:val="23"/>
                <w:szCs w:val="23"/>
              </w:rPr>
              <w:t>Wheeling</w:t>
            </w:r>
            <w:proofErr w:type="gramEnd"/>
            <w:r w:rsidRPr="00FC346C">
              <w:rPr>
                <w:rFonts w:ascii="Times New Roman" w:hAnsi="Times New Roman" w:cs="Times New Roman"/>
                <w:sz w:val="23"/>
                <w:szCs w:val="23"/>
              </w:rPr>
              <w:t xml:space="preserve"> and Distribution &amp; Retail Supply under </w:t>
            </w:r>
            <w:r w:rsidR="008C7D0B" w:rsidRPr="00FC346C">
              <w:rPr>
                <w:rFonts w:ascii="Times New Roman" w:hAnsi="Times New Roman" w:cs="Times New Roman"/>
                <w:sz w:val="23"/>
                <w:szCs w:val="23"/>
              </w:rPr>
              <w:t>MYT</w:t>
            </w:r>
            <w:r w:rsidRPr="00FC346C">
              <w:rPr>
                <w:rFonts w:ascii="Times New Roman" w:hAnsi="Times New Roman" w:cs="Times New Roman"/>
                <w:sz w:val="23"/>
                <w:szCs w:val="23"/>
              </w:rPr>
              <w:t xml:space="preserve"> Framework) Regulations, 2019, 2nd Amendment Regulations, 2022</w:t>
            </w:r>
          </w:p>
        </w:tc>
        <w:tc>
          <w:tcPr>
            <w:tcW w:w="5760" w:type="dxa"/>
          </w:tcPr>
          <w:p w14:paraId="531B9AFF" w14:textId="1D5FF504" w:rsidR="00E76FF3" w:rsidRPr="00FC346C" w:rsidRDefault="00E76FF3" w:rsidP="00E76FF3">
            <w:pPr>
              <w:spacing w:line="360" w:lineRule="auto"/>
              <w:jc w:val="both"/>
              <w:rPr>
                <w:rFonts w:ascii="Times New Roman" w:hAnsi="Times New Roman" w:cs="Times New Roman"/>
                <w:sz w:val="23"/>
                <w:szCs w:val="23"/>
              </w:rPr>
            </w:pPr>
            <w:r w:rsidRPr="00FC346C">
              <w:rPr>
                <w:rFonts w:ascii="Times New Roman" w:hAnsi="Times New Roman" w:cs="Times New Roman"/>
                <w:sz w:val="23"/>
                <w:szCs w:val="23"/>
              </w:rPr>
              <w:t xml:space="preserve">RoE shall be computed at the rate of </w:t>
            </w:r>
            <w:r w:rsidRPr="00FC346C">
              <w:rPr>
                <w:rFonts w:ascii="Times New Roman" w:hAnsi="Times New Roman" w:cs="Times New Roman"/>
                <w:b/>
                <w:bCs/>
                <w:sz w:val="23"/>
                <w:szCs w:val="23"/>
              </w:rPr>
              <w:t>11%</w:t>
            </w:r>
            <w:r w:rsidRPr="00FC346C">
              <w:rPr>
                <w:rFonts w:ascii="Times New Roman" w:hAnsi="Times New Roman" w:cs="Times New Roman"/>
                <w:sz w:val="23"/>
                <w:szCs w:val="23"/>
              </w:rPr>
              <w:t xml:space="preserve"> for transmission licensees.</w:t>
            </w:r>
          </w:p>
        </w:tc>
      </w:tr>
      <w:tr w:rsidR="00E76FF3" w:rsidRPr="00FC346C" w14:paraId="5B2538CC" w14:textId="77777777" w:rsidTr="008C7D0B">
        <w:tc>
          <w:tcPr>
            <w:tcW w:w="2830" w:type="dxa"/>
          </w:tcPr>
          <w:p w14:paraId="5015236C" w14:textId="74E24518" w:rsidR="00E76FF3" w:rsidRPr="00FC346C" w:rsidRDefault="00E76FF3" w:rsidP="00E76FF3">
            <w:pPr>
              <w:spacing w:line="360" w:lineRule="auto"/>
              <w:jc w:val="center"/>
              <w:rPr>
                <w:rFonts w:ascii="Times New Roman" w:hAnsi="Times New Roman" w:cs="Times New Roman"/>
                <w:sz w:val="23"/>
                <w:szCs w:val="23"/>
              </w:rPr>
            </w:pPr>
            <w:r w:rsidRPr="00FC346C">
              <w:rPr>
                <w:rFonts w:ascii="Times New Roman" w:hAnsi="Times New Roman" w:cs="Times New Roman"/>
                <w:sz w:val="23"/>
                <w:szCs w:val="23"/>
              </w:rPr>
              <w:t>Regulation 20(2), RERC (Terms and Conditions for Determination of Tariff) Regulations, 2019</w:t>
            </w:r>
          </w:p>
        </w:tc>
        <w:tc>
          <w:tcPr>
            <w:tcW w:w="5760" w:type="dxa"/>
          </w:tcPr>
          <w:p w14:paraId="55FCB7D5" w14:textId="7A8B62E7" w:rsidR="00E76FF3" w:rsidRPr="00FC346C" w:rsidRDefault="00E76FF3" w:rsidP="00E76FF3">
            <w:pPr>
              <w:spacing w:line="360" w:lineRule="auto"/>
              <w:jc w:val="both"/>
              <w:rPr>
                <w:rFonts w:ascii="Times New Roman" w:hAnsi="Times New Roman" w:cs="Times New Roman"/>
                <w:sz w:val="23"/>
                <w:szCs w:val="23"/>
              </w:rPr>
            </w:pPr>
            <w:r w:rsidRPr="00FC346C">
              <w:rPr>
                <w:rFonts w:ascii="Times New Roman" w:hAnsi="Times New Roman" w:cs="Times New Roman"/>
                <w:sz w:val="23"/>
                <w:szCs w:val="23"/>
              </w:rPr>
              <w:t xml:space="preserve">RoE shall be computed at the rate of </w:t>
            </w:r>
            <w:r w:rsidRPr="00FC346C">
              <w:rPr>
                <w:rFonts w:ascii="Times New Roman" w:hAnsi="Times New Roman" w:cs="Times New Roman"/>
                <w:b/>
                <w:bCs/>
                <w:sz w:val="23"/>
                <w:szCs w:val="23"/>
              </w:rPr>
              <w:t>14%</w:t>
            </w:r>
            <w:r w:rsidRPr="00FC346C">
              <w:rPr>
                <w:rFonts w:ascii="Times New Roman" w:hAnsi="Times New Roman" w:cs="Times New Roman"/>
                <w:sz w:val="23"/>
                <w:szCs w:val="23"/>
              </w:rPr>
              <w:t xml:space="preserve"> for transmission licensees.</w:t>
            </w:r>
          </w:p>
        </w:tc>
      </w:tr>
      <w:tr w:rsidR="00E76FF3" w:rsidRPr="00FC346C" w14:paraId="3AB57E6C" w14:textId="77777777" w:rsidTr="008C7D0B">
        <w:tc>
          <w:tcPr>
            <w:tcW w:w="2830" w:type="dxa"/>
          </w:tcPr>
          <w:p w14:paraId="5960FAE3" w14:textId="048F5C07" w:rsidR="00E76FF3" w:rsidRPr="00FC346C" w:rsidRDefault="00E76FF3" w:rsidP="00E76FF3">
            <w:pPr>
              <w:spacing w:line="360" w:lineRule="auto"/>
              <w:jc w:val="center"/>
              <w:rPr>
                <w:rFonts w:ascii="Times New Roman" w:hAnsi="Times New Roman" w:cs="Times New Roman"/>
                <w:sz w:val="23"/>
                <w:szCs w:val="23"/>
              </w:rPr>
            </w:pPr>
            <w:r w:rsidRPr="00FC346C">
              <w:rPr>
                <w:rFonts w:ascii="Times New Roman" w:hAnsi="Times New Roman" w:cs="Times New Roman"/>
                <w:sz w:val="23"/>
                <w:szCs w:val="23"/>
              </w:rPr>
              <w:t xml:space="preserve">Regulation 28(1), </w:t>
            </w:r>
            <w:r w:rsidR="009510E7" w:rsidRPr="00FC346C">
              <w:rPr>
                <w:rFonts w:ascii="Times New Roman" w:hAnsi="Times New Roman" w:cs="Times New Roman"/>
                <w:sz w:val="23"/>
                <w:szCs w:val="23"/>
              </w:rPr>
              <w:t>KSERC</w:t>
            </w:r>
            <w:r w:rsidRPr="00FC346C">
              <w:rPr>
                <w:rFonts w:ascii="Times New Roman" w:hAnsi="Times New Roman" w:cs="Times New Roman"/>
                <w:sz w:val="23"/>
                <w:szCs w:val="23"/>
              </w:rPr>
              <w:t xml:space="preserve"> (Terms and Conditions for Determination of Tariff) Regulations, 2021.</w:t>
            </w:r>
          </w:p>
        </w:tc>
        <w:tc>
          <w:tcPr>
            <w:tcW w:w="5760" w:type="dxa"/>
          </w:tcPr>
          <w:p w14:paraId="7885A91C" w14:textId="2AA4DAE6" w:rsidR="00E76FF3" w:rsidRPr="00FC346C" w:rsidRDefault="00E76FF3" w:rsidP="00E76FF3">
            <w:pPr>
              <w:spacing w:line="360" w:lineRule="auto"/>
              <w:jc w:val="both"/>
              <w:rPr>
                <w:rFonts w:ascii="Times New Roman" w:hAnsi="Times New Roman" w:cs="Times New Roman"/>
                <w:sz w:val="23"/>
                <w:szCs w:val="23"/>
              </w:rPr>
            </w:pPr>
            <w:r w:rsidRPr="00FC346C">
              <w:rPr>
                <w:rFonts w:ascii="Times New Roman" w:hAnsi="Times New Roman" w:cs="Times New Roman"/>
                <w:sz w:val="23"/>
                <w:szCs w:val="23"/>
              </w:rPr>
              <w:t xml:space="preserve">RoE shall be computed at the rate of </w:t>
            </w:r>
            <w:r w:rsidRPr="00FC346C">
              <w:rPr>
                <w:rFonts w:ascii="Times New Roman" w:hAnsi="Times New Roman" w:cs="Times New Roman"/>
                <w:b/>
                <w:bCs/>
                <w:sz w:val="23"/>
                <w:szCs w:val="23"/>
              </w:rPr>
              <w:t>14%</w:t>
            </w:r>
            <w:r w:rsidRPr="00FC346C">
              <w:rPr>
                <w:rFonts w:ascii="Times New Roman" w:hAnsi="Times New Roman" w:cs="Times New Roman"/>
                <w:sz w:val="23"/>
                <w:szCs w:val="23"/>
              </w:rPr>
              <w:t xml:space="preserve"> for transmission licensees.</w:t>
            </w:r>
          </w:p>
        </w:tc>
      </w:tr>
      <w:tr w:rsidR="00E76FF3" w:rsidRPr="00FC346C" w14:paraId="3064B0BD" w14:textId="77777777" w:rsidTr="008C7D0B">
        <w:tc>
          <w:tcPr>
            <w:tcW w:w="2830" w:type="dxa"/>
          </w:tcPr>
          <w:p w14:paraId="5FBFDAC3" w14:textId="2FBF306E" w:rsidR="00E76FF3" w:rsidRPr="00FC346C" w:rsidRDefault="00E76FF3" w:rsidP="00E76FF3">
            <w:pPr>
              <w:spacing w:line="360" w:lineRule="auto"/>
              <w:jc w:val="center"/>
              <w:rPr>
                <w:rFonts w:ascii="Times New Roman" w:hAnsi="Times New Roman" w:cs="Times New Roman"/>
                <w:sz w:val="23"/>
                <w:szCs w:val="23"/>
              </w:rPr>
            </w:pPr>
            <w:r w:rsidRPr="00FC346C">
              <w:rPr>
                <w:rFonts w:ascii="Times New Roman" w:hAnsi="Times New Roman" w:cs="Times New Roman"/>
                <w:sz w:val="23"/>
                <w:szCs w:val="23"/>
              </w:rPr>
              <w:t>Regulation 29.2(d), TSERC (Multi Year Tariff) Regulation, 2023</w:t>
            </w:r>
          </w:p>
        </w:tc>
        <w:tc>
          <w:tcPr>
            <w:tcW w:w="5760" w:type="dxa"/>
          </w:tcPr>
          <w:p w14:paraId="5E384966" w14:textId="692B7070" w:rsidR="00E76FF3" w:rsidRPr="00FC346C" w:rsidRDefault="00E76FF3" w:rsidP="00E76FF3">
            <w:pPr>
              <w:spacing w:line="360" w:lineRule="auto"/>
              <w:jc w:val="both"/>
              <w:rPr>
                <w:rFonts w:ascii="Times New Roman" w:hAnsi="Times New Roman" w:cs="Times New Roman"/>
                <w:sz w:val="23"/>
                <w:szCs w:val="23"/>
              </w:rPr>
            </w:pPr>
            <w:r w:rsidRPr="00FC346C">
              <w:rPr>
                <w:rFonts w:ascii="Times New Roman" w:hAnsi="Times New Roman" w:cs="Times New Roman"/>
                <w:sz w:val="23"/>
                <w:szCs w:val="23"/>
              </w:rPr>
              <w:t xml:space="preserve">RoE shall be computed at the rate of </w:t>
            </w:r>
            <w:r w:rsidRPr="00FC346C">
              <w:rPr>
                <w:rFonts w:ascii="Times New Roman" w:hAnsi="Times New Roman" w:cs="Times New Roman"/>
                <w:b/>
                <w:bCs/>
                <w:sz w:val="23"/>
                <w:szCs w:val="23"/>
              </w:rPr>
              <w:t>14%</w:t>
            </w:r>
            <w:r w:rsidRPr="00FC346C">
              <w:rPr>
                <w:rFonts w:ascii="Times New Roman" w:hAnsi="Times New Roman" w:cs="Times New Roman"/>
                <w:sz w:val="23"/>
                <w:szCs w:val="23"/>
              </w:rPr>
              <w:t xml:space="preserve"> for transmission licensees.</w:t>
            </w:r>
          </w:p>
        </w:tc>
      </w:tr>
      <w:tr w:rsidR="00B127ED" w:rsidRPr="00FC346C" w14:paraId="25A74071" w14:textId="77777777" w:rsidTr="008C7D0B">
        <w:tc>
          <w:tcPr>
            <w:tcW w:w="2830" w:type="dxa"/>
          </w:tcPr>
          <w:p w14:paraId="139C3647" w14:textId="1B92C413" w:rsidR="00B127ED" w:rsidRPr="00FC346C" w:rsidRDefault="00B127ED" w:rsidP="00B127ED">
            <w:pPr>
              <w:spacing w:line="360" w:lineRule="auto"/>
              <w:jc w:val="center"/>
              <w:rPr>
                <w:rFonts w:ascii="Times New Roman" w:hAnsi="Times New Roman" w:cs="Times New Roman"/>
                <w:sz w:val="23"/>
                <w:szCs w:val="23"/>
              </w:rPr>
            </w:pPr>
            <w:r w:rsidRPr="00FC346C">
              <w:rPr>
                <w:rFonts w:ascii="Times New Roman" w:hAnsi="Times New Roman" w:cs="Times New Roman"/>
                <w:sz w:val="23"/>
                <w:szCs w:val="23"/>
              </w:rPr>
              <w:t>Regulation 29(b), Draft KERC (Multi Year Transmission,</w:t>
            </w:r>
          </w:p>
          <w:p w14:paraId="4B941BB1" w14:textId="6ADAF86A" w:rsidR="00B127ED" w:rsidRPr="00FC346C" w:rsidRDefault="00B127ED" w:rsidP="00B127ED">
            <w:pPr>
              <w:spacing w:line="360" w:lineRule="auto"/>
              <w:jc w:val="center"/>
              <w:rPr>
                <w:rFonts w:ascii="Times New Roman" w:hAnsi="Times New Roman" w:cs="Times New Roman"/>
                <w:sz w:val="23"/>
                <w:szCs w:val="23"/>
              </w:rPr>
            </w:pPr>
            <w:r w:rsidRPr="00FC346C">
              <w:rPr>
                <w:rFonts w:ascii="Times New Roman" w:hAnsi="Times New Roman" w:cs="Times New Roman"/>
                <w:sz w:val="23"/>
                <w:szCs w:val="23"/>
              </w:rPr>
              <w:t>Distribution and Retail Supply Tariff) Regulations, 2023</w:t>
            </w:r>
          </w:p>
        </w:tc>
        <w:tc>
          <w:tcPr>
            <w:tcW w:w="5760" w:type="dxa"/>
          </w:tcPr>
          <w:p w14:paraId="0BF7348A" w14:textId="40864445" w:rsidR="00B127ED" w:rsidRPr="00FC346C" w:rsidRDefault="00B127ED" w:rsidP="00BE0DC4">
            <w:pPr>
              <w:spacing w:line="360" w:lineRule="auto"/>
              <w:jc w:val="both"/>
              <w:rPr>
                <w:rFonts w:ascii="Times New Roman" w:hAnsi="Times New Roman" w:cs="Times New Roman"/>
                <w:sz w:val="23"/>
                <w:szCs w:val="23"/>
              </w:rPr>
            </w:pPr>
            <w:r w:rsidRPr="00FC346C">
              <w:rPr>
                <w:rFonts w:ascii="Times New Roman" w:hAnsi="Times New Roman" w:cs="Times New Roman"/>
                <w:sz w:val="23"/>
                <w:szCs w:val="23"/>
              </w:rPr>
              <w:t xml:space="preserve">RoE shall be computed at the rate of </w:t>
            </w:r>
            <w:r w:rsidRPr="00FC346C">
              <w:rPr>
                <w:rFonts w:ascii="Times New Roman" w:hAnsi="Times New Roman" w:cs="Times New Roman"/>
                <w:b/>
                <w:bCs/>
                <w:sz w:val="23"/>
                <w:szCs w:val="23"/>
              </w:rPr>
              <w:t>14%</w:t>
            </w:r>
            <w:r w:rsidRPr="00FC346C">
              <w:rPr>
                <w:rFonts w:ascii="Times New Roman" w:hAnsi="Times New Roman" w:cs="Times New Roman"/>
                <w:sz w:val="23"/>
                <w:szCs w:val="23"/>
              </w:rPr>
              <w:t xml:space="preserve"> for transmission licensees.</w:t>
            </w:r>
          </w:p>
        </w:tc>
      </w:tr>
      <w:tr w:rsidR="00E55DA9" w:rsidRPr="00FC346C" w14:paraId="0D6B0335" w14:textId="77777777" w:rsidTr="008C7D0B">
        <w:tc>
          <w:tcPr>
            <w:tcW w:w="2830" w:type="dxa"/>
          </w:tcPr>
          <w:p w14:paraId="6BADD876" w14:textId="7B2E1F91" w:rsidR="00E55DA9" w:rsidRPr="00FC346C" w:rsidRDefault="00507B02" w:rsidP="00E76FF3">
            <w:pPr>
              <w:spacing w:line="360" w:lineRule="auto"/>
              <w:jc w:val="center"/>
              <w:rPr>
                <w:rFonts w:ascii="Times New Roman" w:hAnsi="Times New Roman" w:cs="Times New Roman"/>
                <w:sz w:val="23"/>
                <w:szCs w:val="23"/>
              </w:rPr>
            </w:pPr>
            <w:r w:rsidRPr="00FC346C">
              <w:rPr>
                <w:rFonts w:ascii="Times New Roman" w:hAnsi="Times New Roman" w:cs="Times New Roman"/>
                <w:sz w:val="23"/>
                <w:szCs w:val="23"/>
              </w:rPr>
              <w:t>Regulation 22.1, UPERC (Multi Year Tariff for Distribution and Transmission) Regulation, 2019</w:t>
            </w:r>
          </w:p>
        </w:tc>
        <w:tc>
          <w:tcPr>
            <w:tcW w:w="5760" w:type="dxa"/>
          </w:tcPr>
          <w:p w14:paraId="357D2544" w14:textId="77777777" w:rsidR="00E55DA9" w:rsidRPr="00FC346C" w:rsidRDefault="00507B02" w:rsidP="00BE0DC4">
            <w:pPr>
              <w:spacing w:line="360" w:lineRule="auto"/>
              <w:jc w:val="both"/>
              <w:rPr>
                <w:rFonts w:ascii="Times New Roman" w:hAnsi="Times New Roman" w:cs="Times New Roman"/>
                <w:sz w:val="23"/>
                <w:szCs w:val="23"/>
              </w:rPr>
            </w:pPr>
            <w:r w:rsidRPr="00FC346C">
              <w:rPr>
                <w:rFonts w:ascii="Times New Roman" w:hAnsi="Times New Roman" w:cs="Times New Roman"/>
                <w:sz w:val="23"/>
                <w:szCs w:val="23"/>
              </w:rPr>
              <w:t xml:space="preserve">RoE shall be computed at the rate of </w:t>
            </w:r>
            <w:r w:rsidRPr="00FC346C">
              <w:rPr>
                <w:rFonts w:ascii="Times New Roman" w:hAnsi="Times New Roman" w:cs="Times New Roman"/>
                <w:b/>
                <w:bCs/>
                <w:sz w:val="23"/>
                <w:szCs w:val="23"/>
              </w:rPr>
              <w:t>14.5%</w:t>
            </w:r>
            <w:r w:rsidRPr="00FC346C">
              <w:rPr>
                <w:rFonts w:ascii="Times New Roman" w:hAnsi="Times New Roman" w:cs="Times New Roman"/>
                <w:sz w:val="23"/>
                <w:szCs w:val="23"/>
              </w:rPr>
              <w:t xml:space="preserve"> for transmission licensees.</w:t>
            </w:r>
          </w:p>
          <w:p w14:paraId="5D5E4BDB" w14:textId="77777777" w:rsidR="00507B02" w:rsidRPr="00FC346C" w:rsidRDefault="00507B02" w:rsidP="00BE0DC4">
            <w:pPr>
              <w:spacing w:line="360" w:lineRule="auto"/>
              <w:jc w:val="both"/>
              <w:rPr>
                <w:rFonts w:ascii="Times New Roman" w:hAnsi="Times New Roman" w:cs="Times New Roman"/>
                <w:sz w:val="23"/>
                <w:szCs w:val="23"/>
              </w:rPr>
            </w:pPr>
          </w:p>
          <w:p w14:paraId="07561B89" w14:textId="07EEA000" w:rsidR="008325CB" w:rsidRPr="00FC346C" w:rsidRDefault="00A61D5F" w:rsidP="008325CB">
            <w:pPr>
              <w:spacing w:line="360" w:lineRule="auto"/>
              <w:jc w:val="both"/>
              <w:rPr>
                <w:rFonts w:ascii="Times New Roman" w:hAnsi="Times New Roman" w:cs="Times New Roman"/>
                <w:sz w:val="23"/>
                <w:szCs w:val="23"/>
              </w:rPr>
            </w:pPr>
            <w:r w:rsidRPr="00FC346C">
              <w:rPr>
                <w:rFonts w:ascii="Times New Roman" w:hAnsi="Times New Roman" w:cs="Times New Roman"/>
                <w:sz w:val="23"/>
                <w:szCs w:val="23"/>
              </w:rPr>
              <w:t>In this regard</w:t>
            </w:r>
            <w:r w:rsidR="00DA12E5" w:rsidRPr="00FC346C">
              <w:rPr>
                <w:rFonts w:ascii="Times New Roman" w:hAnsi="Times New Roman" w:cs="Times New Roman"/>
                <w:sz w:val="23"/>
                <w:szCs w:val="23"/>
              </w:rPr>
              <w:t>,</w:t>
            </w:r>
            <w:r w:rsidRPr="00FC346C">
              <w:rPr>
                <w:rFonts w:ascii="Times New Roman" w:hAnsi="Times New Roman" w:cs="Times New Roman"/>
                <w:sz w:val="23"/>
                <w:szCs w:val="23"/>
              </w:rPr>
              <w:t xml:space="preserve"> reference may be had to t</w:t>
            </w:r>
            <w:r w:rsidR="008325CB" w:rsidRPr="00FC346C">
              <w:rPr>
                <w:rFonts w:ascii="Times New Roman" w:hAnsi="Times New Roman" w:cs="Times New Roman"/>
                <w:sz w:val="23"/>
                <w:szCs w:val="23"/>
              </w:rPr>
              <w:t>he Uttar Pradesh Electricity Regulatory Commission</w:t>
            </w:r>
            <w:r w:rsidRPr="00FC346C">
              <w:rPr>
                <w:rFonts w:ascii="Times New Roman" w:hAnsi="Times New Roman" w:cs="Times New Roman"/>
                <w:sz w:val="23"/>
                <w:szCs w:val="23"/>
              </w:rPr>
              <w:t>’s</w:t>
            </w:r>
            <w:r w:rsidR="00DA12E5" w:rsidRPr="00FC346C">
              <w:rPr>
                <w:rFonts w:ascii="Times New Roman" w:hAnsi="Times New Roman" w:cs="Times New Roman"/>
                <w:sz w:val="23"/>
                <w:szCs w:val="23"/>
              </w:rPr>
              <w:t xml:space="preserve"> (</w:t>
            </w:r>
            <w:r w:rsidR="00DA12E5" w:rsidRPr="00FC346C">
              <w:rPr>
                <w:rFonts w:ascii="Times New Roman" w:hAnsi="Times New Roman" w:cs="Times New Roman"/>
                <w:b/>
                <w:bCs/>
                <w:sz w:val="23"/>
                <w:szCs w:val="23"/>
              </w:rPr>
              <w:t>UPERC</w:t>
            </w:r>
            <w:r w:rsidR="00DA12E5" w:rsidRPr="00FC346C">
              <w:rPr>
                <w:rFonts w:ascii="Times New Roman" w:hAnsi="Times New Roman" w:cs="Times New Roman"/>
                <w:sz w:val="23"/>
                <w:szCs w:val="23"/>
              </w:rPr>
              <w:t xml:space="preserve">) </w:t>
            </w:r>
            <w:r w:rsidRPr="00FC346C">
              <w:rPr>
                <w:rFonts w:ascii="Times New Roman" w:hAnsi="Times New Roman" w:cs="Times New Roman"/>
                <w:sz w:val="23"/>
                <w:szCs w:val="23"/>
              </w:rPr>
              <w:t xml:space="preserve">Order dated </w:t>
            </w:r>
            <w:r w:rsidR="005B14D1" w:rsidRPr="00FC346C">
              <w:rPr>
                <w:rFonts w:ascii="Times New Roman" w:hAnsi="Times New Roman" w:cs="Times New Roman"/>
                <w:sz w:val="23"/>
                <w:szCs w:val="23"/>
              </w:rPr>
              <w:t>24.05.2023</w:t>
            </w:r>
            <w:r w:rsidRPr="00FC346C">
              <w:rPr>
                <w:rFonts w:ascii="Times New Roman" w:hAnsi="Times New Roman" w:cs="Times New Roman"/>
                <w:sz w:val="23"/>
                <w:szCs w:val="23"/>
              </w:rPr>
              <w:t xml:space="preserve"> </w:t>
            </w:r>
            <w:r w:rsidR="008325CB" w:rsidRPr="00FC346C">
              <w:rPr>
                <w:rFonts w:ascii="Times New Roman" w:hAnsi="Times New Roman" w:cs="Times New Roman"/>
                <w:sz w:val="23"/>
                <w:szCs w:val="23"/>
              </w:rPr>
              <w:t>in proceedings related to the approval of ARR and Tariff for U</w:t>
            </w:r>
            <w:r w:rsidR="005B14D1" w:rsidRPr="00FC346C">
              <w:rPr>
                <w:rFonts w:ascii="Times New Roman" w:hAnsi="Times New Roman" w:cs="Times New Roman"/>
                <w:sz w:val="23"/>
                <w:szCs w:val="23"/>
              </w:rPr>
              <w:t>ttar Pradesh</w:t>
            </w:r>
            <w:r w:rsidR="003D1780" w:rsidRPr="00FC346C">
              <w:rPr>
                <w:rFonts w:ascii="Times New Roman" w:hAnsi="Times New Roman" w:cs="Times New Roman"/>
                <w:sz w:val="23"/>
                <w:szCs w:val="23"/>
              </w:rPr>
              <w:t xml:space="preserve"> Power Transmission Corporation Limited</w:t>
            </w:r>
            <w:r w:rsidR="005B14D1" w:rsidRPr="00FC346C">
              <w:rPr>
                <w:rFonts w:ascii="Times New Roman" w:hAnsi="Times New Roman" w:cs="Times New Roman"/>
                <w:sz w:val="23"/>
                <w:szCs w:val="23"/>
              </w:rPr>
              <w:t xml:space="preserve"> (</w:t>
            </w:r>
            <w:r w:rsidR="005B14D1" w:rsidRPr="00FC346C">
              <w:rPr>
                <w:rFonts w:ascii="Times New Roman" w:hAnsi="Times New Roman" w:cs="Times New Roman"/>
                <w:b/>
                <w:bCs/>
                <w:sz w:val="23"/>
                <w:szCs w:val="23"/>
              </w:rPr>
              <w:t>UPPTCL</w:t>
            </w:r>
            <w:r w:rsidR="005B14D1" w:rsidRPr="00FC346C">
              <w:rPr>
                <w:rFonts w:ascii="Times New Roman" w:hAnsi="Times New Roman" w:cs="Times New Roman"/>
                <w:sz w:val="23"/>
                <w:szCs w:val="23"/>
              </w:rPr>
              <w:t>)</w:t>
            </w:r>
            <w:r w:rsidR="008325CB" w:rsidRPr="00FC346C">
              <w:rPr>
                <w:rFonts w:ascii="Times New Roman" w:hAnsi="Times New Roman" w:cs="Times New Roman"/>
                <w:sz w:val="23"/>
                <w:szCs w:val="23"/>
              </w:rPr>
              <w:t xml:space="preserve"> </w:t>
            </w:r>
            <w:r w:rsidR="003D1780" w:rsidRPr="00FC346C">
              <w:rPr>
                <w:rFonts w:ascii="Times New Roman" w:hAnsi="Times New Roman" w:cs="Times New Roman"/>
                <w:sz w:val="23"/>
                <w:szCs w:val="23"/>
              </w:rPr>
              <w:t>for</w:t>
            </w:r>
            <w:r w:rsidR="008325CB" w:rsidRPr="00FC346C">
              <w:rPr>
                <w:rFonts w:ascii="Times New Roman" w:hAnsi="Times New Roman" w:cs="Times New Roman"/>
                <w:sz w:val="23"/>
                <w:szCs w:val="23"/>
              </w:rPr>
              <w:t xml:space="preserve"> FY 2023-24,</w:t>
            </w:r>
            <w:r w:rsidR="003D1780" w:rsidRPr="00FC346C">
              <w:rPr>
                <w:rFonts w:ascii="Times New Roman" w:hAnsi="Times New Roman" w:cs="Times New Roman"/>
                <w:sz w:val="23"/>
                <w:szCs w:val="23"/>
              </w:rPr>
              <w:t xml:space="preserve"> </w:t>
            </w:r>
            <w:r w:rsidR="008325CB" w:rsidRPr="00FC346C">
              <w:rPr>
                <w:rFonts w:ascii="Times New Roman" w:hAnsi="Times New Roman" w:cs="Times New Roman"/>
                <w:sz w:val="23"/>
                <w:szCs w:val="23"/>
              </w:rPr>
              <w:t xml:space="preserve">APR of FY </w:t>
            </w:r>
            <w:proofErr w:type="gramStart"/>
            <w:r w:rsidR="008325CB" w:rsidRPr="00FC346C">
              <w:rPr>
                <w:rFonts w:ascii="Times New Roman" w:hAnsi="Times New Roman" w:cs="Times New Roman"/>
                <w:sz w:val="23"/>
                <w:szCs w:val="23"/>
              </w:rPr>
              <w:t>2022-23</w:t>
            </w:r>
            <w:proofErr w:type="gramEnd"/>
            <w:r w:rsidR="008325CB" w:rsidRPr="00FC346C">
              <w:rPr>
                <w:rFonts w:ascii="Times New Roman" w:hAnsi="Times New Roman" w:cs="Times New Roman"/>
                <w:sz w:val="23"/>
                <w:szCs w:val="23"/>
              </w:rPr>
              <w:t xml:space="preserve"> and True-Up of FY 2021-22</w:t>
            </w:r>
            <w:r w:rsidR="003D1780" w:rsidRPr="00FC346C">
              <w:rPr>
                <w:rFonts w:ascii="Times New Roman" w:hAnsi="Times New Roman" w:cs="Times New Roman"/>
                <w:sz w:val="23"/>
                <w:szCs w:val="23"/>
              </w:rPr>
              <w:t xml:space="preserve"> </w:t>
            </w:r>
            <w:r w:rsidR="005B14D1" w:rsidRPr="00FC346C">
              <w:rPr>
                <w:rFonts w:ascii="Times New Roman" w:hAnsi="Times New Roman" w:cs="Times New Roman"/>
                <w:sz w:val="23"/>
                <w:szCs w:val="23"/>
              </w:rPr>
              <w:t xml:space="preserve">(Petition No. 1907 of 2022). Page no. 88 records  UPPTCL’s submission claiming only 2% RoE citing the distribution licensees’ financial stress. The UPERC accepted the submission and allowed </w:t>
            </w:r>
            <w:r w:rsidR="008C7D0B" w:rsidRPr="00FC346C">
              <w:rPr>
                <w:rFonts w:ascii="Times New Roman" w:hAnsi="Times New Roman" w:cs="Times New Roman"/>
                <w:sz w:val="23"/>
                <w:szCs w:val="23"/>
              </w:rPr>
              <w:t>a</w:t>
            </w:r>
            <w:r w:rsidR="005B14D1" w:rsidRPr="00FC346C">
              <w:rPr>
                <w:rFonts w:ascii="Times New Roman" w:hAnsi="Times New Roman" w:cs="Times New Roman"/>
                <w:sz w:val="23"/>
                <w:szCs w:val="23"/>
              </w:rPr>
              <w:t xml:space="preserve"> RoE of 2%.  </w:t>
            </w:r>
          </w:p>
        </w:tc>
      </w:tr>
      <w:tr w:rsidR="00E76FF3" w:rsidRPr="00FC346C" w14:paraId="0E3B6301" w14:textId="77777777" w:rsidTr="008C7D0B">
        <w:tc>
          <w:tcPr>
            <w:tcW w:w="2830" w:type="dxa"/>
          </w:tcPr>
          <w:p w14:paraId="21DCFE9B" w14:textId="55D5B9D7" w:rsidR="00E76FF3" w:rsidRPr="00FC346C" w:rsidRDefault="00B47AB3" w:rsidP="00E76FF3">
            <w:pPr>
              <w:spacing w:line="360" w:lineRule="auto"/>
              <w:jc w:val="center"/>
              <w:rPr>
                <w:rFonts w:ascii="Times New Roman" w:hAnsi="Times New Roman" w:cs="Times New Roman"/>
                <w:sz w:val="23"/>
                <w:szCs w:val="23"/>
              </w:rPr>
            </w:pPr>
            <w:r w:rsidRPr="00FC346C">
              <w:rPr>
                <w:rFonts w:ascii="Times New Roman" w:hAnsi="Times New Roman" w:cs="Times New Roman"/>
                <w:sz w:val="23"/>
                <w:szCs w:val="23"/>
              </w:rPr>
              <w:t xml:space="preserve">APERC Order dated </w:t>
            </w:r>
            <w:r w:rsidR="006467D8" w:rsidRPr="00FC346C">
              <w:rPr>
                <w:rFonts w:ascii="Times New Roman" w:hAnsi="Times New Roman" w:cs="Times New Roman"/>
                <w:sz w:val="23"/>
                <w:szCs w:val="23"/>
              </w:rPr>
              <w:t>08.03.2019 – Transmission tariffs for the 4</w:t>
            </w:r>
            <w:r w:rsidR="006467D8" w:rsidRPr="00FC346C">
              <w:rPr>
                <w:rFonts w:ascii="Times New Roman" w:hAnsi="Times New Roman" w:cs="Times New Roman"/>
                <w:sz w:val="23"/>
                <w:szCs w:val="23"/>
                <w:vertAlign w:val="superscript"/>
              </w:rPr>
              <w:t>th</w:t>
            </w:r>
            <w:r w:rsidR="006467D8" w:rsidRPr="00FC346C">
              <w:rPr>
                <w:rFonts w:ascii="Times New Roman" w:hAnsi="Times New Roman" w:cs="Times New Roman"/>
                <w:sz w:val="23"/>
                <w:szCs w:val="23"/>
              </w:rPr>
              <w:t xml:space="preserve"> control period – FY 2019-20 to 2023-24</w:t>
            </w:r>
          </w:p>
        </w:tc>
        <w:tc>
          <w:tcPr>
            <w:tcW w:w="5760" w:type="dxa"/>
          </w:tcPr>
          <w:p w14:paraId="2C3FD009" w14:textId="77777777" w:rsidR="00E76FF3" w:rsidRPr="00FC346C" w:rsidRDefault="00F441B2" w:rsidP="00BE0DC4">
            <w:pPr>
              <w:spacing w:line="360" w:lineRule="auto"/>
              <w:jc w:val="both"/>
              <w:rPr>
                <w:rFonts w:ascii="Times New Roman" w:hAnsi="Times New Roman" w:cs="Times New Roman"/>
                <w:sz w:val="23"/>
                <w:szCs w:val="23"/>
              </w:rPr>
            </w:pPr>
            <w:r w:rsidRPr="00FC346C">
              <w:rPr>
                <w:rFonts w:ascii="Times New Roman" w:hAnsi="Times New Roman" w:cs="Times New Roman"/>
                <w:sz w:val="23"/>
                <w:szCs w:val="23"/>
              </w:rPr>
              <w:t xml:space="preserve">The Andhra Pradesh Electricity Regulatory </w:t>
            </w:r>
            <w:r w:rsidR="00BE0DC4" w:rsidRPr="00FC346C">
              <w:rPr>
                <w:rFonts w:ascii="Times New Roman" w:hAnsi="Times New Roman" w:cs="Times New Roman"/>
                <w:sz w:val="23"/>
                <w:szCs w:val="23"/>
              </w:rPr>
              <w:t>Commission (</w:t>
            </w:r>
            <w:r w:rsidR="00BE0DC4" w:rsidRPr="00FC346C">
              <w:rPr>
                <w:rFonts w:ascii="Times New Roman" w:hAnsi="Times New Roman" w:cs="Times New Roman"/>
                <w:b/>
                <w:bCs/>
                <w:sz w:val="23"/>
                <w:szCs w:val="23"/>
              </w:rPr>
              <w:t>APERC</w:t>
            </w:r>
            <w:r w:rsidR="00BE0DC4" w:rsidRPr="00FC346C">
              <w:rPr>
                <w:rFonts w:ascii="Times New Roman" w:hAnsi="Times New Roman" w:cs="Times New Roman"/>
                <w:sz w:val="23"/>
                <w:szCs w:val="23"/>
              </w:rPr>
              <w:t xml:space="preserve">) continued with </w:t>
            </w:r>
            <w:r w:rsidR="00254D0D" w:rsidRPr="00FC346C">
              <w:rPr>
                <w:rFonts w:ascii="Times New Roman" w:hAnsi="Times New Roman" w:cs="Times New Roman"/>
                <w:b/>
                <w:bCs/>
                <w:sz w:val="23"/>
                <w:szCs w:val="23"/>
              </w:rPr>
              <w:t xml:space="preserve">14% </w:t>
            </w:r>
            <w:r w:rsidR="00254D0D" w:rsidRPr="00FC346C">
              <w:rPr>
                <w:rFonts w:ascii="Times New Roman" w:hAnsi="Times New Roman" w:cs="Times New Roman"/>
                <w:sz w:val="23"/>
                <w:szCs w:val="23"/>
              </w:rPr>
              <w:t xml:space="preserve">RoE for transmission licensees, despite the latter’s request for </w:t>
            </w:r>
            <w:r w:rsidR="00E55DA9" w:rsidRPr="00FC346C">
              <w:rPr>
                <w:rFonts w:ascii="Times New Roman" w:hAnsi="Times New Roman" w:cs="Times New Roman"/>
                <w:sz w:val="23"/>
                <w:szCs w:val="23"/>
              </w:rPr>
              <w:t>15.5% RoE.</w:t>
            </w:r>
          </w:p>
          <w:p w14:paraId="14C0C2FF" w14:textId="77777777" w:rsidR="00DA12E5" w:rsidRPr="00FC346C" w:rsidRDefault="00DA12E5" w:rsidP="00BE0DC4">
            <w:pPr>
              <w:spacing w:line="360" w:lineRule="auto"/>
              <w:jc w:val="both"/>
              <w:rPr>
                <w:rFonts w:ascii="Times New Roman" w:hAnsi="Times New Roman" w:cs="Times New Roman"/>
                <w:sz w:val="23"/>
                <w:szCs w:val="23"/>
              </w:rPr>
            </w:pPr>
          </w:p>
          <w:p w14:paraId="36203FC6" w14:textId="7BFE96E1" w:rsidR="00DA12E5" w:rsidRPr="00FC346C" w:rsidRDefault="00DA12E5" w:rsidP="00BE0DC4">
            <w:pPr>
              <w:spacing w:line="360" w:lineRule="auto"/>
              <w:jc w:val="both"/>
              <w:rPr>
                <w:rFonts w:ascii="Times New Roman" w:hAnsi="Times New Roman" w:cs="Times New Roman"/>
                <w:sz w:val="23"/>
                <w:szCs w:val="23"/>
              </w:rPr>
            </w:pPr>
            <w:r w:rsidRPr="00FC346C">
              <w:rPr>
                <w:rFonts w:ascii="Times New Roman" w:hAnsi="Times New Roman" w:cs="Times New Roman"/>
                <w:sz w:val="23"/>
                <w:szCs w:val="23"/>
              </w:rPr>
              <w:t>APERC’s regulations do not provide a specific RoE percentage, but the formula for its calculation.</w:t>
            </w:r>
          </w:p>
        </w:tc>
      </w:tr>
    </w:tbl>
    <w:p w14:paraId="74397F26" w14:textId="77777777" w:rsidR="001303F3" w:rsidRPr="00FC346C" w:rsidRDefault="001303F3" w:rsidP="00352DD7">
      <w:pPr>
        <w:pStyle w:val="ListParagraph"/>
        <w:spacing w:after="0" w:line="360" w:lineRule="auto"/>
        <w:ind w:left="284"/>
        <w:jc w:val="both"/>
        <w:rPr>
          <w:rFonts w:ascii="Times New Roman" w:hAnsi="Times New Roman" w:cs="Times New Roman"/>
          <w:sz w:val="23"/>
          <w:szCs w:val="23"/>
        </w:rPr>
      </w:pPr>
    </w:p>
    <w:p w14:paraId="2B46A808" w14:textId="4DCCA5E9" w:rsidR="00552308" w:rsidRPr="00FC346C" w:rsidRDefault="00552308" w:rsidP="00352DD7">
      <w:pPr>
        <w:pStyle w:val="ListParagraph"/>
        <w:spacing w:after="0" w:line="360" w:lineRule="auto"/>
        <w:ind w:left="426"/>
        <w:jc w:val="both"/>
        <w:rPr>
          <w:rFonts w:ascii="Times New Roman" w:hAnsi="Times New Roman" w:cs="Times New Roman"/>
          <w:b/>
          <w:bCs/>
          <w:smallCaps/>
          <w:sz w:val="23"/>
          <w:szCs w:val="23"/>
        </w:rPr>
      </w:pPr>
      <w:r w:rsidRPr="00FC346C">
        <w:rPr>
          <w:rFonts w:ascii="Times New Roman" w:hAnsi="Times New Roman" w:cs="Times New Roman"/>
          <w:b/>
          <w:bCs/>
          <w:smallCaps/>
          <w:sz w:val="23"/>
          <w:szCs w:val="23"/>
        </w:rPr>
        <w:t>RoE in RTM Transmission Projects v</w:t>
      </w:r>
      <w:r w:rsidR="00D1765C" w:rsidRPr="00FC346C">
        <w:rPr>
          <w:rFonts w:ascii="Times New Roman" w:hAnsi="Times New Roman" w:cs="Times New Roman"/>
          <w:b/>
          <w:bCs/>
          <w:smallCaps/>
          <w:sz w:val="23"/>
          <w:szCs w:val="23"/>
        </w:rPr>
        <w:t>ersus RoE in</w:t>
      </w:r>
      <w:r w:rsidRPr="00FC346C">
        <w:rPr>
          <w:rFonts w:ascii="Times New Roman" w:hAnsi="Times New Roman" w:cs="Times New Roman"/>
          <w:b/>
          <w:bCs/>
          <w:smallCaps/>
          <w:sz w:val="23"/>
          <w:szCs w:val="23"/>
        </w:rPr>
        <w:t xml:space="preserve"> </w:t>
      </w:r>
      <w:r w:rsidR="00D1765C" w:rsidRPr="00FC346C">
        <w:rPr>
          <w:rFonts w:ascii="Times New Roman" w:hAnsi="Times New Roman" w:cs="Times New Roman"/>
          <w:b/>
          <w:bCs/>
          <w:smallCaps/>
          <w:sz w:val="23"/>
          <w:szCs w:val="23"/>
        </w:rPr>
        <w:t>TBCB Transmission Projects</w:t>
      </w:r>
    </w:p>
    <w:p w14:paraId="7FFE0746" w14:textId="77777777" w:rsidR="00C74377" w:rsidRPr="00FC346C" w:rsidRDefault="00C74377" w:rsidP="00352DD7">
      <w:pPr>
        <w:pStyle w:val="ListParagraph"/>
        <w:spacing w:after="0" w:line="360" w:lineRule="auto"/>
        <w:ind w:left="426"/>
        <w:jc w:val="both"/>
        <w:rPr>
          <w:rFonts w:ascii="Times New Roman" w:hAnsi="Times New Roman" w:cs="Times New Roman"/>
          <w:b/>
          <w:bCs/>
          <w:smallCaps/>
          <w:sz w:val="23"/>
          <w:szCs w:val="23"/>
        </w:rPr>
      </w:pPr>
    </w:p>
    <w:p w14:paraId="307B5061" w14:textId="01F6C916" w:rsidR="00C74377" w:rsidRPr="00FC346C" w:rsidRDefault="00411ACE" w:rsidP="00352DD7">
      <w:pPr>
        <w:pStyle w:val="ListParagraph"/>
        <w:spacing w:after="0" w:line="360" w:lineRule="auto"/>
        <w:ind w:left="426"/>
        <w:jc w:val="both"/>
        <w:rPr>
          <w:rFonts w:ascii="Times New Roman" w:hAnsi="Times New Roman" w:cs="Times New Roman"/>
          <w:b/>
          <w:bCs/>
          <w:i/>
          <w:iCs/>
          <w:sz w:val="23"/>
          <w:szCs w:val="23"/>
        </w:rPr>
      </w:pPr>
      <w:r w:rsidRPr="00FC346C">
        <w:rPr>
          <w:rFonts w:ascii="Times New Roman" w:hAnsi="Times New Roman" w:cs="Times New Roman"/>
          <w:b/>
          <w:bCs/>
          <w:i/>
          <w:iCs/>
          <w:sz w:val="23"/>
          <w:szCs w:val="23"/>
        </w:rPr>
        <w:t xml:space="preserve">Current </w:t>
      </w:r>
      <w:r w:rsidR="00C74377" w:rsidRPr="00FC346C">
        <w:rPr>
          <w:rFonts w:ascii="Times New Roman" w:hAnsi="Times New Roman" w:cs="Times New Roman"/>
          <w:b/>
          <w:bCs/>
          <w:i/>
          <w:iCs/>
          <w:sz w:val="23"/>
          <w:szCs w:val="23"/>
        </w:rPr>
        <w:t>RoE in RTM Transmission Projects</w:t>
      </w:r>
    </w:p>
    <w:p w14:paraId="7D2F875D" w14:textId="6F026E9C" w:rsidR="00552308" w:rsidRPr="00FC346C" w:rsidRDefault="00D1765C" w:rsidP="00352DD7">
      <w:pPr>
        <w:spacing w:after="0" w:line="360" w:lineRule="auto"/>
        <w:jc w:val="both"/>
        <w:rPr>
          <w:rFonts w:ascii="Times New Roman" w:hAnsi="Times New Roman" w:cs="Times New Roman"/>
          <w:b/>
          <w:bCs/>
          <w:i/>
          <w:iCs/>
          <w:sz w:val="23"/>
          <w:szCs w:val="23"/>
        </w:rPr>
      </w:pPr>
      <w:r w:rsidRPr="00FC346C">
        <w:rPr>
          <w:rFonts w:ascii="Times New Roman" w:hAnsi="Times New Roman" w:cs="Times New Roman"/>
          <w:b/>
          <w:bCs/>
          <w:i/>
          <w:iCs/>
          <w:sz w:val="23"/>
          <w:szCs w:val="23"/>
        </w:rPr>
        <w:tab/>
      </w:r>
    </w:p>
    <w:p w14:paraId="59F031E3" w14:textId="4DC29221" w:rsidR="009251A6" w:rsidRPr="00FC346C" w:rsidRDefault="00DC2D1F" w:rsidP="00352DD7">
      <w:pPr>
        <w:pStyle w:val="ListParagraph"/>
        <w:numPr>
          <w:ilvl w:val="0"/>
          <w:numId w:val="1"/>
        </w:numPr>
        <w:spacing w:after="0" w:line="360" w:lineRule="auto"/>
        <w:ind w:left="426" w:hanging="426"/>
        <w:jc w:val="both"/>
        <w:rPr>
          <w:rFonts w:ascii="Times New Roman" w:hAnsi="Times New Roman" w:cs="Times New Roman"/>
          <w:sz w:val="23"/>
          <w:szCs w:val="23"/>
        </w:rPr>
      </w:pPr>
      <w:r w:rsidRPr="00FC346C">
        <w:rPr>
          <w:rFonts w:ascii="Times New Roman" w:hAnsi="Times New Roman" w:cs="Times New Roman"/>
          <w:sz w:val="23"/>
          <w:szCs w:val="23"/>
        </w:rPr>
        <w:t>I</w:t>
      </w:r>
      <w:r w:rsidR="009251A6" w:rsidRPr="00FC346C">
        <w:rPr>
          <w:rFonts w:ascii="Times New Roman" w:hAnsi="Times New Roman" w:cs="Times New Roman"/>
          <w:sz w:val="23"/>
          <w:szCs w:val="23"/>
        </w:rPr>
        <w:t xml:space="preserve"> have analysed the </w:t>
      </w:r>
      <w:r w:rsidRPr="00FC346C">
        <w:rPr>
          <w:rFonts w:ascii="Times New Roman" w:hAnsi="Times New Roman" w:cs="Times New Roman"/>
          <w:sz w:val="23"/>
          <w:szCs w:val="23"/>
        </w:rPr>
        <w:t>RoE</w:t>
      </w:r>
      <w:r w:rsidR="009251A6" w:rsidRPr="00FC346C">
        <w:rPr>
          <w:rFonts w:ascii="Times New Roman" w:hAnsi="Times New Roman" w:cs="Times New Roman"/>
          <w:sz w:val="23"/>
          <w:szCs w:val="23"/>
        </w:rPr>
        <w:t xml:space="preserve"> earned by the major transmission player in the country, i.e., Power Grid Corporation of India Limited (PGCIL). PGCIL has </w:t>
      </w:r>
      <w:proofErr w:type="gramStart"/>
      <w:r w:rsidR="009251A6" w:rsidRPr="00FC346C">
        <w:rPr>
          <w:rFonts w:ascii="Times New Roman" w:hAnsi="Times New Roman" w:cs="Times New Roman"/>
          <w:sz w:val="23"/>
          <w:szCs w:val="23"/>
        </w:rPr>
        <w:t>the overwhelming majority of</w:t>
      </w:r>
      <w:proofErr w:type="gramEnd"/>
      <w:r w:rsidR="009251A6" w:rsidRPr="00FC346C">
        <w:rPr>
          <w:rFonts w:ascii="Times New Roman" w:hAnsi="Times New Roman" w:cs="Times New Roman"/>
          <w:sz w:val="23"/>
          <w:szCs w:val="23"/>
        </w:rPr>
        <w:t xml:space="preserve"> transmission projects under RTM and a small portion of the TBCB projects as well. On scrutiny of PGCIL’s financial statements, it can be observed that the RoE earned by PGCIL is way higher than the RoE stipulation of 15.50% provided under the CERC (Terms and Condition of Tariff) Regulations, 2019</w:t>
      </w:r>
      <w:r w:rsidR="00DF7C05" w:rsidRPr="00FC346C">
        <w:rPr>
          <w:rFonts w:ascii="Times New Roman" w:hAnsi="Times New Roman" w:cs="Times New Roman"/>
          <w:sz w:val="23"/>
          <w:szCs w:val="23"/>
        </w:rPr>
        <w:t xml:space="preserve"> (</w:t>
      </w:r>
      <w:r w:rsidR="00DF7C05" w:rsidRPr="00FC346C">
        <w:rPr>
          <w:rFonts w:ascii="Times New Roman" w:hAnsi="Times New Roman" w:cs="Times New Roman"/>
          <w:b/>
          <w:bCs/>
          <w:sz w:val="23"/>
          <w:szCs w:val="23"/>
        </w:rPr>
        <w:t>2019 CERC Tariff Regulations</w:t>
      </w:r>
      <w:r w:rsidR="00DF7C05" w:rsidRPr="00FC346C">
        <w:rPr>
          <w:rFonts w:ascii="Times New Roman" w:hAnsi="Times New Roman" w:cs="Times New Roman"/>
          <w:sz w:val="23"/>
          <w:szCs w:val="23"/>
        </w:rPr>
        <w:t>)</w:t>
      </w:r>
      <w:r w:rsidR="009251A6" w:rsidRPr="00FC346C">
        <w:rPr>
          <w:rFonts w:ascii="Times New Roman" w:hAnsi="Times New Roman" w:cs="Times New Roman"/>
          <w:sz w:val="23"/>
          <w:szCs w:val="23"/>
        </w:rPr>
        <w:t xml:space="preserve">. The below table provides a compilation of the RoE earned by PGCIL which is 20% plus in </w:t>
      </w:r>
      <w:r w:rsidR="004A1E63" w:rsidRPr="00FC346C">
        <w:rPr>
          <w:rFonts w:ascii="Times New Roman" w:hAnsi="Times New Roman" w:cs="Times New Roman"/>
          <w:sz w:val="23"/>
          <w:szCs w:val="23"/>
        </w:rPr>
        <w:t>FY 2021-22 and FY 2022-23</w:t>
      </w:r>
      <w:r w:rsidR="009251A6" w:rsidRPr="00FC346C">
        <w:rPr>
          <w:rFonts w:ascii="Times New Roman" w:hAnsi="Times New Roman" w:cs="Times New Roman"/>
          <w:sz w:val="23"/>
          <w:szCs w:val="23"/>
        </w:rPr>
        <w:t xml:space="preserve">: </w:t>
      </w:r>
    </w:p>
    <w:p w14:paraId="50CC6174" w14:textId="77777777" w:rsidR="004A1E63" w:rsidRPr="00FC346C" w:rsidRDefault="004A1E63" w:rsidP="00352DD7">
      <w:pPr>
        <w:pStyle w:val="ListParagraph"/>
        <w:spacing w:after="0" w:line="360" w:lineRule="auto"/>
        <w:ind w:left="426"/>
        <w:jc w:val="both"/>
        <w:rPr>
          <w:rFonts w:ascii="Times New Roman" w:hAnsi="Times New Roman" w:cs="Times New Roman"/>
          <w:sz w:val="23"/>
          <w:szCs w:val="23"/>
        </w:rPr>
      </w:pP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1508"/>
        <w:gridCol w:w="1508"/>
        <w:gridCol w:w="1508"/>
        <w:gridCol w:w="1508"/>
        <w:gridCol w:w="1508"/>
      </w:tblGrid>
      <w:tr w:rsidR="00920DE3" w:rsidRPr="00FC346C" w14:paraId="3C8C24E5" w14:textId="77777777" w:rsidTr="000918C0">
        <w:trPr>
          <w:trHeight w:val="238"/>
          <w:jc w:val="center"/>
        </w:trPr>
        <w:tc>
          <w:tcPr>
            <w:tcW w:w="0" w:type="auto"/>
            <w:shd w:val="clear" w:color="auto" w:fill="E7E6E6" w:themeFill="background2"/>
            <w:noWrap/>
            <w:vAlign w:val="center"/>
            <w:hideMark/>
          </w:tcPr>
          <w:p w14:paraId="6EB6ACCD" w14:textId="77777777" w:rsidR="009251A6" w:rsidRPr="00FC346C" w:rsidRDefault="009251A6" w:rsidP="00352DD7">
            <w:pPr>
              <w:spacing w:after="0" w:line="360" w:lineRule="auto"/>
              <w:jc w:val="center"/>
              <w:rPr>
                <w:rFonts w:ascii="Times New Roman" w:eastAsia="Times New Roman" w:hAnsi="Times New Roman" w:cs="Times New Roman"/>
                <w:b/>
                <w:bCs/>
                <w:sz w:val="23"/>
                <w:szCs w:val="23"/>
                <w:lang w:eastAsia="en-IN"/>
              </w:rPr>
            </w:pPr>
            <w:r w:rsidRPr="00FC346C">
              <w:rPr>
                <w:rFonts w:ascii="Times New Roman" w:eastAsia="Times New Roman" w:hAnsi="Times New Roman" w:cs="Times New Roman"/>
                <w:b/>
                <w:bCs/>
                <w:sz w:val="23"/>
                <w:szCs w:val="23"/>
                <w:lang w:eastAsia="en-IN"/>
              </w:rPr>
              <w:t>Particulars</w:t>
            </w:r>
          </w:p>
        </w:tc>
        <w:tc>
          <w:tcPr>
            <w:tcW w:w="0" w:type="auto"/>
            <w:shd w:val="clear" w:color="auto" w:fill="E7E6E6" w:themeFill="background2"/>
            <w:noWrap/>
            <w:vAlign w:val="bottom"/>
            <w:hideMark/>
          </w:tcPr>
          <w:p w14:paraId="71101E6B" w14:textId="77777777" w:rsidR="009251A6" w:rsidRPr="00FC346C" w:rsidRDefault="009251A6" w:rsidP="00352DD7">
            <w:pPr>
              <w:spacing w:after="0" w:line="360" w:lineRule="auto"/>
              <w:jc w:val="center"/>
              <w:rPr>
                <w:rFonts w:ascii="Times New Roman" w:eastAsia="Times New Roman" w:hAnsi="Times New Roman" w:cs="Times New Roman"/>
                <w:b/>
                <w:bCs/>
                <w:sz w:val="23"/>
                <w:szCs w:val="23"/>
                <w:lang w:eastAsia="en-IN"/>
              </w:rPr>
            </w:pPr>
            <w:r w:rsidRPr="00FC346C">
              <w:rPr>
                <w:rFonts w:ascii="Times New Roman" w:eastAsia="Times New Roman" w:hAnsi="Times New Roman" w:cs="Times New Roman"/>
                <w:b/>
                <w:bCs/>
                <w:sz w:val="23"/>
                <w:szCs w:val="23"/>
                <w:lang w:eastAsia="en-IN"/>
              </w:rPr>
              <w:t>FY 2018-19</w:t>
            </w:r>
          </w:p>
        </w:tc>
        <w:tc>
          <w:tcPr>
            <w:tcW w:w="0" w:type="auto"/>
            <w:shd w:val="clear" w:color="auto" w:fill="E7E6E6" w:themeFill="background2"/>
            <w:noWrap/>
            <w:vAlign w:val="bottom"/>
            <w:hideMark/>
          </w:tcPr>
          <w:p w14:paraId="126BE915" w14:textId="77777777" w:rsidR="009251A6" w:rsidRPr="00FC346C" w:rsidRDefault="009251A6" w:rsidP="00352DD7">
            <w:pPr>
              <w:spacing w:after="0" w:line="360" w:lineRule="auto"/>
              <w:jc w:val="center"/>
              <w:rPr>
                <w:rFonts w:ascii="Times New Roman" w:eastAsia="Times New Roman" w:hAnsi="Times New Roman" w:cs="Times New Roman"/>
                <w:b/>
                <w:bCs/>
                <w:sz w:val="23"/>
                <w:szCs w:val="23"/>
                <w:lang w:eastAsia="en-IN"/>
              </w:rPr>
            </w:pPr>
            <w:r w:rsidRPr="00FC346C">
              <w:rPr>
                <w:rFonts w:ascii="Times New Roman" w:eastAsia="Times New Roman" w:hAnsi="Times New Roman" w:cs="Times New Roman"/>
                <w:b/>
                <w:bCs/>
                <w:sz w:val="23"/>
                <w:szCs w:val="23"/>
                <w:lang w:eastAsia="en-IN"/>
              </w:rPr>
              <w:t>FY 2019-20</w:t>
            </w:r>
          </w:p>
        </w:tc>
        <w:tc>
          <w:tcPr>
            <w:tcW w:w="0" w:type="auto"/>
            <w:shd w:val="clear" w:color="auto" w:fill="E7E6E6" w:themeFill="background2"/>
            <w:noWrap/>
            <w:vAlign w:val="bottom"/>
            <w:hideMark/>
          </w:tcPr>
          <w:p w14:paraId="50D987FF" w14:textId="77777777" w:rsidR="009251A6" w:rsidRPr="00FC346C" w:rsidRDefault="009251A6" w:rsidP="00352DD7">
            <w:pPr>
              <w:spacing w:after="0" w:line="360" w:lineRule="auto"/>
              <w:jc w:val="center"/>
              <w:rPr>
                <w:rFonts w:ascii="Times New Roman" w:eastAsia="Times New Roman" w:hAnsi="Times New Roman" w:cs="Times New Roman"/>
                <w:b/>
                <w:bCs/>
                <w:sz w:val="23"/>
                <w:szCs w:val="23"/>
                <w:lang w:eastAsia="en-IN"/>
              </w:rPr>
            </w:pPr>
            <w:r w:rsidRPr="00FC346C">
              <w:rPr>
                <w:rFonts w:ascii="Times New Roman" w:eastAsia="Times New Roman" w:hAnsi="Times New Roman" w:cs="Times New Roman"/>
                <w:b/>
                <w:bCs/>
                <w:sz w:val="23"/>
                <w:szCs w:val="23"/>
                <w:lang w:eastAsia="en-IN"/>
              </w:rPr>
              <w:t>FY 2020-21</w:t>
            </w:r>
          </w:p>
        </w:tc>
        <w:tc>
          <w:tcPr>
            <w:tcW w:w="0" w:type="auto"/>
            <w:shd w:val="clear" w:color="auto" w:fill="E7E6E6" w:themeFill="background2"/>
            <w:noWrap/>
            <w:vAlign w:val="bottom"/>
            <w:hideMark/>
          </w:tcPr>
          <w:p w14:paraId="44431269" w14:textId="77777777" w:rsidR="009251A6" w:rsidRPr="00FC346C" w:rsidRDefault="009251A6" w:rsidP="00352DD7">
            <w:pPr>
              <w:spacing w:after="0" w:line="360" w:lineRule="auto"/>
              <w:jc w:val="center"/>
              <w:rPr>
                <w:rFonts w:ascii="Times New Roman" w:eastAsia="Times New Roman" w:hAnsi="Times New Roman" w:cs="Times New Roman"/>
                <w:b/>
                <w:bCs/>
                <w:sz w:val="23"/>
                <w:szCs w:val="23"/>
                <w:lang w:eastAsia="en-IN"/>
              </w:rPr>
            </w:pPr>
            <w:r w:rsidRPr="00FC346C">
              <w:rPr>
                <w:rFonts w:ascii="Times New Roman" w:eastAsia="Times New Roman" w:hAnsi="Times New Roman" w:cs="Times New Roman"/>
                <w:b/>
                <w:bCs/>
                <w:sz w:val="23"/>
                <w:szCs w:val="23"/>
                <w:lang w:eastAsia="en-IN"/>
              </w:rPr>
              <w:t>FY 2021-22</w:t>
            </w:r>
          </w:p>
        </w:tc>
        <w:tc>
          <w:tcPr>
            <w:tcW w:w="0" w:type="auto"/>
            <w:shd w:val="clear" w:color="auto" w:fill="E7E6E6" w:themeFill="background2"/>
            <w:noWrap/>
            <w:vAlign w:val="bottom"/>
            <w:hideMark/>
          </w:tcPr>
          <w:p w14:paraId="5C2618A4" w14:textId="77777777" w:rsidR="009251A6" w:rsidRPr="00FC346C" w:rsidRDefault="009251A6" w:rsidP="00352DD7">
            <w:pPr>
              <w:spacing w:after="0" w:line="360" w:lineRule="auto"/>
              <w:jc w:val="center"/>
              <w:rPr>
                <w:rFonts w:ascii="Times New Roman" w:eastAsia="Times New Roman" w:hAnsi="Times New Roman" w:cs="Times New Roman"/>
                <w:b/>
                <w:bCs/>
                <w:sz w:val="23"/>
                <w:szCs w:val="23"/>
                <w:lang w:eastAsia="en-IN"/>
              </w:rPr>
            </w:pPr>
            <w:r w:rsidRPr="00FC346C">
              <w:rPr>
                <w:rFonts w:ascii="Times New Roman" w:eastAsia="Times New Roman" w:hAnsi="Times New Roman" w:cs="Times New Roman"/>
                <w:b/>
                <w:bCs/>
                <w:sz w:val="23"/>
                <w:szCs w:val="23"/>
                <w:lang w:eastAsia="en-IN"/>
              </w:rPr>
              <w:t>FY 2022-23</w:t>
            </w:r>
          </w:p>
        </w:tc>
      </w:tr>
      <w:tr w:rsidR="009251A6" w:rsidRPr="00FC346C" w14:paraId="5C0D89DF" w14:textId="77777777" w:rsidTr="000918C0">
        <w:trPr>
          <w:trHeight w:val="238"/>
          <w:jc w:val="center"/>
        </w:trPr>
        <w:tc>
          <w:tcPr>
            <w:tcW w:w="0" w:type="auto"/>
            <w:shd w:val="clear" w:color="auto" w:fill="auto"/>
            <w:noWrap/>
            <w:vAlign w:val="bottom"/>
            <w:hideMark/>
          </w:tcPr>
          <w:p w14:paraId="67702C72" w14:textId="77777777" w:rsidR="009251A6" w:rsidRPr="00FC346C" w:rsidRDefault="009251A6" w:rsidP="00352DD7">
            <w:pPr>
              <w:spacing w:after="0" w:line="360" w:lineRule="auto"/>
              <w:jc w:val="center"/>
              <w:rPr>
                <w:rFonts w:ascii="Times New Roman" w:eastAsia="Times New Roman" w:hAnsi="Times New Roman" w:cs="Times New Roman"/>
                <w:b/>
                <w:bCs/>
                <w:color w:val="000000"/>
                <w:sz w:val="23"/>
                <w:szCs w:val="23"/>
                <w:lang w:eastAsia="en-IN"/>
              </w:rPr>
            </w:pPr>
            <w:r w:rsidRPr="00FC346C">
              <w:rPr>
                <w:rFonts w:ascii="Times New Roman" w:eastAsia="Times New Roman" w:hAnsi="Times New Roman" w:cs="Times New Roman"/>
                <w:b/>
                <w:bCs/>
                <w:color w:val="000000"/>
                <w:sz w:val="23"/>
                <w:szCs w:val="23"/>
                <w:lang w:eastAsia="en-IN"/>
              </w:rPr>
              <w:t xml:space="preserve">Net Profit </w:t>
            </w:r>
          </w:p>
        </w:tc>
        <w:tc>
          <w:tcPr>
            <w:tcW w:w="0" w:type="auto"/>
            <w:shd w:val="clear" w:color="auto" w:fill="auto"/>
            <w:noWrap/>
            <w:vAlign w:val="bottom"/>
            <w:hideMark/>
          </w:tcPr>
          <w:p w14:paraId="556607A6" w14:textId="77777777" w:rsidR="009251A6" w:rsidRPr="00FC346C" w:rsidRDefault="009251A6" w:rsidP="00352DD7">
            <w:pPr>
              <w:spacing w:after="0" w:line="36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9938.55</w:t>
            </w:r>
          </w:p>
        </w:tc>
        <w:tc>
          <w:tcPr>
            <w:tcW w:w="0" w:type="auto"/>
            <w:shd w:val="clear" w:color="auto" w:fill="auto"/>
            <w:noWrap/>
            <w:vAlign w:val="bottom"/>
            <w:hideMark/>
          </w:tcPr>
          <w:p w14:paraId="46405D45" w14:textId="77777777" w:rsidR="009251A6" w:rsidRPr="00FC346C" w:rsidRDefault="009251A6" w:rsidP="00352DD7">
            <w:pPr>
              <w:spacing w:after="0" w:line="36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10811.18</w:t>
            </w:r>
          </w:p>
        </w:tc>
        <w:tc>
          <w:tcPr>
            <w:tcW w:w="0" w:type="auto"/>
            <w:shd w:val="clear" w:color="auto" w:fill="auto"/>
            <w:noWrap/>
            <w:vAlign w:val="bottom"/>
            <w:hideMark/>
          </w:tcPr>
          <w:p w14:paraId="2E470479" w14:textId="77777777" w:rsidR="009251A6" w:rsidRPr="00FC346C" w:rsidRDefault="009251A6" w:rsidP="00352DD7">
            <w:pPr>
              <w:spacing w:after="0" w:line="36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11935.78</w:t>
            </w:r>
          </w:p>
        </w:tc>
        <w:tc>
          <w:tcPr>
            <w:tcW w:w="0" w:type="auto"/>
            <w:shd w:val="clear" w:color="auto" w:fill="auto"/>
            <w:noWrap/>
            <w:vAlign w:val="bottom"/>
            <w:hideMark/>
          </w:tcPr>
          <w:p w14:paraId="758358B7" w14:textId="77777777" w:rsidR="009251A6" w:rsidRPr="00FC346C" w:rsidRDefault="009251A6" w:rsidP="00352DD7">
            <w:pPr>
              <w:spacing w:after="0" w:line="36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15333.02</w:t>
            </w:r>
          </w:p>
        </w:tc>
        <w:tc>
          <w:tcPr>
            <w:tcW w:w="0" w:type="auto"/>
            <w:shd w:val="clear" w:color="auto" w:fill="auto"/>
            <w:noWrap/>
            <w:vAlign w:val="bottom"/>
            <w:hideMark/>
          </w:tcPr>
          <w:p w14:paraId="4AEF5E9D" w14:textId="77777777" w:rsidR="009251A6" w:rsidRPr="00FC346C" w:rsidRDefault="009251A6" w:rsidP="00352DD7">
            <w:pPr>
              <w:spacing w:after="0" w:line="36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17093.76</w:t>
            </w:r>
          </w:p>
        </w:tc>
      </w:tr>
      <w:tr w:rsidR="009251A6" w:rsidRPr="00FC346C" w14:paraId="1E1E62B5" w14:textId="77777777" w:rsidTr="000918C0">
        <w:trPr>
          <w:trHeight w:val="238"/>
          <w:jc w:val="center"/>
        </w:trPr>
        <w:tc>
          <w:tcPr>
            <w:tcW w:w="0" w:type="auto"/>
            <w:shd w:val="clear" w:color="auto" w:fill="auto"/>
            <w:noWrap/>
            <w:vAlign w:val="bottom"/>
            <w:hideMark/>
          </w:tcPr>
          <w:p w14:paraId="0E6F0BE1" w14:textId="77777777" w:rsidR="009251A6" w:rsidRPr="00FC346C" w:rsidRDefault="009251A6" w:rsidP="00352DD7">
            <w:pPr>
              <w:spacing w:after="0" w:line="360" w:lineRule="auto"/>
              <w:jc w:val="center"/>
              <w:rPr>
                <w:rFonts w:ascii="Times New Roman" w:eastAsia="Times New Roman" w:hAnsi="Times New Roman" w:cs="Times New Roman"/>
                <w:b/>
                <w:bCs/>
                <w:color w:val="000000"/>
                <w:sz w:val="23"/>
                <w:szCs w:val="23"/>
                <w:lang w:eastAsia="en-IN"/>
              </w:rPr>
            </w:pPr>
            <w:r w:rsidRPr="00FC346C">
              <w:rPr>
                <w:rFonts w:ascii="Times New Roman" w:eastAsia="Times New Roman" w:hAnsi="Times New Roman" w:cs="Times New Roman"/>
                <w:b/>
                <w:bCs/>
                <w:color w:val="000000"/>
                <w:sz w:val="23"/>
                <w:szCs w:val="23"/>
                <w:lang w:eastAsia="en-IN"/>
              </w:rPr>
              <w:t>Equity</w:t>
            </w:r>
          </w:p>
        </w:tc>
        <w:tc>
          <w:tcPr>
            <w:tcW w:w="0" w:type="auto"/>
            <w:shd w:val="clear" w:color="auto" w:fill="auto"/>
            <w:noWrap/>
            <w:vAlign w:val="bottom"/>
            <w:hideMark/>
          </w:tcPr>
          <w:p w14:paraId="55275E60" w14:textId="77777777" w:rsidR="009251A6" w:rsidRPr="00FC346C" w:rsidRDefault="009251A6" w:rsidP="00352DD7">
            <w:pPr>
              <w:spacing w:after="0" w:line="36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59017.14</w:t>
            </w:r>
          </w:p>
        </w:tc>
        <w:tc>
          <w:tcPr>
            <w:tcW w:w="0" w:type="auto"/>
            <w:shd w:val="clear" w:color="auto" w:fill="auto"/>
            <w:noWrap/>
            <w:vAlign w:val="bottom"/>
            <w:hideMark/>
          </w:tcPr>
          <w:p w14:paraId="625C6616" w14:textId="77777777" w:rsidR="009251A6" w:rsidRPr="00FC346C" w:rsidRDefault="009251A6" w:rsidP="00352DD7">
            <w:pPr>
              <w:spacing w:after="0" w:line="36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64439.69</w:t>
            </w:r>
          </w:p>
        </w:tc>
        <w:tc>
          <w:tcPr>
            <w:tcW w:w="0" w:type="auto"/>
            <w:shd w:val="clear" w:color="auto" w:fill="auto"/>
            <w:noWrap/>
            <w:vAlign w:val="bottom"/>
            <w:hideMark/>
          </w:tcPr>
          <w:p w14:paraId="0DC53256" w14:textId="77777777" w:rsidR="009251A6" w:rsidRPr="00FC346C" w:rsidRDefault="009251A6" w:rsidP="00352DD7">
            <w:pPr>
              <w:spacing w:after="0" w:line="36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69578.84</w:t>
            </w:r>
          </w:p>
        </w:tc>
        <w:tc>
          <w:tcPr>
            <w:tcW w:w="0" w:type="auto"/>
            <w:shd w:val="clear" w:color="auto" w:fill="auto"/>
            <w:noWrap/>
            <w:vAlign w:val="bottom"/>
            <w:hideMark/>
          </w:tcPr>
          <w:p w14:paraId="6128C6A3" w14:textId="77777777" w:rsidR="009251A6" w:rsidRPr="00FC346C" w:rsidRDefault="009251A6" w:rsidP="00352DD7">
            <w:pPr>
              <w:spacing w:after="0" w:line="36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76151.57</w:t>
            </w:r>
          </w:p>
        </w:tc>
        <w:tc>
          <w:tcPr>
            <w:tcW w:w="0" w:type="auto"/>
            <w:shd w:val="clear" w:color="auto" w:fill="auto"/>
            <w:noWrap/>
            <w:vAlign w:val="bottom"/>
            <w:hideMark/>
          </w:tcPr>
          <w:p w14:paraId="74593A4C" w14:textId="77777777" w:rsidR="009251A6" w:rsidRPr="00FC346C" w:rsidRDefault="009251A6" w:rsidP="00352DD7">
            <w:pPr>
              <w:spacing w:after="0" w:line="36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82832.96</w:t>
            </w:r>
          </w:p>
        </w:tc>
      </w:tr>
      <w:tr w:rsidR="009251A6" w:rsidRPr="00FC346C" w14:paraId="2C2DD677" w14:textId="77777777" w:rsidTr="000918C0">
        <w:trPr>
          <w:trHeight w:val="238"/>
          <w:jc w:val="center"/>
        </w:trPr>
        <w:tc>
          <w:tcPr>
            <w:tcW w:w="0" w:type="auto"/>
            <w:shd w:val="clear" w:color="auto" w:fill="auto"/>
            <w:noWrap/>
            <w:vAlign w:val="bottom"/>
            <w:hideMark/>
          </w:tcPr>
          <w:p w14:paraId="0EBD7F37" w14:textId="77777777" w:rsidR="009251A6" w:rsidRPr="00FC346C" w:rsidRDefault="009251A6" w:rsidP="00352DD7">
            <w:pPr>
              <w:spacing w:after="0" w:line="360" w:lineRule="auto"/>
              <w:jc w:val="center"/>
              <w:rPr>
                <w:rFonts w:ascii="Times New Roman" w:eastAsia="Times New Roman" w:hAnsi="Times New Roman" w:cs="Times New Roman"/>
                <w:b/>
                <w:bCs/>
                <w:color w:val="000000"/>
                <w:sz w:val="23"/>
                <w:szCs w:val="23"/>
                <w:lang w:eastAsia="en-IN"/>
              </w:rPr>
            </w:pPr>
            <w:r w:rsidRPr="00FC346C">
              <w:rPr>
                <w:rFonts w:ascii="Times New Roman" w:eastAsia="Times New Roman" w:hAnsi="Times New Roman" w:cs="Times New Roman"/>
                <w:b/>
                <w:bCs/>
                <w:color w:val="000000"/>
                <w:sz w:val="23"/>
                <w:szCs w:val="23"/>
                <w:lang w:eastAsia="en-IN"/>
              </w:rPr>
              <w:t>RoE (%)</w:t>
            </w:r>
          </w:p>
        </w:tc>
        <w:tc>
          <w:tcPr>
            <w:tcW w:w="0" w:type="auto"/>
            <w:shd w:val="clear" w:color="auto" w:fill="auto"/>
            <w:noWrap/>
            <w:vAlign w:val="bottom"/>
            <w:hideMark/>
          </w:tcPr>
          <w:p w14:paraId="16C62312" w14:textId="77777777" w:rsidR="009251A6" w:rsidRPr="00FC346C" w:rsidRDefault="009251A6" w:rsidP="00352DD7">
            <w:pPr>
              <w:spacing w:after="0" w:line="36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16.84%</w:t>
            </w:r>
          </w:p>
        </w:tc>
        <w:tc>
          <w:tcPr>
            <w:tcW w:w="0" w:type="auto"/>
            <w:shd w:val="clear" w:color="auto" w:fill="auto"/>
            <w:noWrap/>
            <w:vAlign w:val="bottom"/>
            <w:hideMark/>
          </w:tcPr>
          <w:p w14:paraId="4A3C24F5" w14:textId="77777777" w:rsidR="009251A6" w:rsidRPr="00FC346C" w:rsidRDefault="009251A6" w:rsidP="00352DD7">
            <w:pPr>
              <w:spacing w:after="0" w:line="36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16.78%</w:t>
            </w:r>
          </w:p>
        </w:tc>
        <w:tc>
          <w:tcPr>
            <w:tcW w:w="0" w:type="auto"/>
            <w:shd w:val="clear" w:color="auto" w:fill="auto"/>
            <w:noWrap/>
            <w:vAlign w:val="bottom"/>
            <w:hideMark/>
          </w:tcPr>
          <w:p w14:paraId="0062A66C" w14:textId="77777777" w:rsidR="009251A6" w:rsidRPr="00FC346C" w:rsidRDefault="009251A6" w:rsidP="00352DD7">
            <w:pPr>
              <w:spacing w:after="0" w:line="36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17.15%</w:t>
            </w:r>
          </w:p>
        </w:tc>
        <w:tc>
          <w:tcPr>
            <w:tcW w:w="0" w:type="auto"/>
            <w:shd w:val="clear" w:color="auto" w:fill="auto"/>
            <w:noWrap/>
            <w:vAlign w:val="bottom"/>
            <w:hideMark/>
          </w:tcPr>
          <w:p w14:paraId="6397216C" w14:textId="77777777" w:rsidR="009251A6" w:rsidRPr="00FC346C" w:rsidRDefault="009251A6" w:rsidP="00352DD7">
            <w:pPr>
              <w:spacing w:after="0" w:line="36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20.13%</w:t>
            </w:r>
          </w:p>
        </w:tc>
        <w:tc>
          <w:tcPr>
            <w:tcW w:w="0" w:type="auto"/>
            <w:shd w:val="clear" w:color="auto" w:fill="auto"/>
            <w:noWrap/>
            <w:vAlign w:val="bottom"/>
            <w:hideMark/>
          </w:tcPr>
          <w:p w14:paraId="37EA222C" w14:textId="77777777" w:rsidR="009251A6" w:rsidRPr="00FC346C" w:rsidRDefault="009251A6" w:rsidP="00352DD7">
            <w:pPr>
              <w:spacing w:after="0" w:line="36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20.64%</w:t>
            </w:r>
          </w:p>
        </w:tc>
      </w:tr>
    </w:tbl>
    <w:p w14:paraId="75895CF5" w14:textId="77777777" w:rsidR="009251A6" w:rsidRPr="00FC346C" w:rsidRDefault="009251A6" w:rsidP="00352DD7">
      <w:pPr>
        <w:spacing w:after="0" w:line="360" w:lineRule="auto"/>
        <w:ind w:left="-76" w:firstLine="76"/>
        <w:jc w:val="center"/>
        <w:rPr>
          <w:rFonts w:ascii="Times New Roman" w:hAnsi="Times New Roman" w:cs="Times New Roman"/>
          <w:i/>
          <w:sz w:val="23"/>
          <w:szCs w:val="23"/>
        </w:rPr>
      </w:pPr>
      <w:r w:rsidRPr="00FC346C">
        <w:rPr>
          <w:rFonts w:ascii="Times New Roman" w:hAnsi="Times New Roman" w:cs="Times New Roman"/>
          <w:i/>
          <w:sz w:val="23"/>
          <w:szCs w:val="23"/>
        </w:rPr>
        <w:t>Source: Annual Financial Statements of PGCIL</w:t>
      </w:r>
    </w:p>
    <w:p w14:paraId="36276A32" w14:textId="77777777" w:rsidR="004A1E63" w:rsidRPr="00FC346C" w:rsidRDefault="004A1E63" w:rsidP="00352DD7">
      <w:pPr>
        <w:pStyle w:val="ListParagraph"/>
        <w:spacing w:after="0" w:line="360" w:lineRule="auto"/>
        <w:ind w:left="426"/>
        <w:jc w:val="both"/>
        <w:rPr>
          <w:rFonts w:ascii="Times New Roman" w:hAnsi="Times New Roman" w:cs="Times New Roman"/>
          <w:sz w:val="23"/>
          <w:szCs w:val="23"/>
        </w:rPr>
      </w:pPr>
    </w:p>
    <w:p w14:paraId="068C5985" w14:textId="77777777" w:rsidR="00C74377" w:rsidRPr="00FC346C" w:rsidRDefault="009251A6" w:rsidP="00352DD7">
      <w:pPr>
        <w:pStyle w:val="ListParagraph"/>
        <w:numPr>
          <w:ilvl w:val="0"/>
          <w:numId w:val="1"/>
        </w:numPr>
        <w:spacing w:after="0" w:line="360" w:lineRule="auto"/>
        <w:ind w:left="426" w:hanging="426"/>
        <w:jc w:val="both"/>
        <w:rPr>
          <w:rFonts w:ascii="Times New Roman" w:hAnsi="Times New Roman" w:cs="Times New Roman"/>
          <w:sz w:val="23"/>
          <w:szCs w:val="23"/>
        </w:rPr>
      </w:pPr>
      <w:r w:rsidRPr="00FC346C">
        <w:rPr>
          <w:rFonts w:ascii="Times New Roman" w:hAnsi="Times New Roman" w:cs="Times New Roman"/>
          <w:sz w:val="23"/>
          <w:szCs w:val="23"/>
        </w:rPr>
        <w:t>Thus, it is evident that by the present RoE norms that the regulated transmission businesses</w:t>
      </w:r>
      <w:r w:rsidR="004A1E63" w:rsidRPr="00FC346C">
        <w:rPr>
          <w:rFonts w:ascii="Times New Roman" w:hAnsi="Times New Roman" w:cs="Times New Roman"/>
          <w:sz w:val="23"/>
          <w:szCs w:val="23"/>
        </w:rPr>
        <w:t xml:space="preserve"> such as PGCIL</w:t>
      </w:r>
      <w:r w:rsidRPr="00FC346C">
        <w:rPr>
          <w:rFonts w:ascii="Times New Roman" w:hAnsi="Times New Roman" w:cs="Times New Roman"/>
          <w:sz w:val="23"/>
          <w:szCs w:val="23"/>
        </w:rPr>
        <w:t xml:space="preserve"> are earning very high returns</w:t>
      </w:r>
      <w:r w:rsidR="004A1E63" w:rsidRPr="00FC346C">
        <w:rPr>
          <w:rFonts w:ascii="Times New Roman" w:hAnsi="Times New Roman" w:cs="Times New Roman"/>
          <w:sz w:val="23"/>
          <w:szCs w:val="23"/>
        </w:rPr>
        <w:t>,</w:t>
      </w:r>
      <w:r w:rsidRPr="00FC346C">
        <w:rPr>
          <w:rFonts w:ascii="Times New Roman" w:hAnsi="Times New Roman" w:cs="Times New Roman"/>
          <w:sz w:val="23"/>
          <w:szCs w:val="23"/>
        </w:rPr>
        <w:t xml:space="preserve"> </w:t>
      </w:r>
      <w:r w:rsidR="004A1E63" w:rsidRPr="00FC346C">
        <w:rPr>
          <w:rFonts w:ascii="Times New Roman" w:hAnsi="Times New Roman" w:cs="Times New Roman"/>
          <w:sz w:val="23"/>
          <w:szCs w:val="23"/>
        </w:rPr>
        <w:t>while</w:t>
      </w:r>
      <w:r w:rsidRPr="00FC346C">
        <w:rPr>
          <w:rFonts w:ascii="Times New Roman" w:hAnsi="Times New Roman" w:cs="Times New Roman"/>
          <w:sz w:val="23"/>
          <w:szCs w:val="23"/>
        </w:rPr>
        <w:t xml:space="preserve"> the risk in</w:t>
      </w:r>
      <w:r w:rsidR="004A1E63" w:rsidRPr="00FC346C">
        <w:rPr>
          <w:rFonts w:ascii="Times New Roman" w:hAnsi="Times New Roman" w:cs="Times New Roman"/>
          <w:sz w:val="23"/>
          <w:szCs w:val="23"/>
        </w:rPr>
        <w:t xml:space="preserve"> RTM</w:t>
      </w:r>
      <w:r w:rsidRPr="00FC346C">
        <w:rPr>
          <w:rFonts w:ascii="Times New Roman" w:hAnsi="Times New Roman" w:cs="Times New Roman"/>
          <w:sz w:val="23"/>
          <w:szCs w:val="23"/>
        </w:rPr>
        <w:t xml:space="preserve"> transmission projects </w:t>
      </w:r>
      <w:r w:rsidR="004A1E63" w:rsidRPr="00FC346C">
        <w:rPr>
          <w:rFonts w:ascii="Times New Roman" w:hAnsi="Times New Roman" w:cs="Times New Roman"/>
          <w:sz w:val="23"/>
          <w:szCs w:val="23"/>
        </w:rPr>
        <w:t>is</w:t>
      </w:r>
      <w:r w:rsidRPr="00FC346C">
        <w:rPr>
          <w:rFonts w:ascii="Times New Roman" w:hAnsi="Times New Roman" w:cs="Times New Roman"/>
          <w:sz w:val="23"/>
          <w:szCs w:val="23"/>
        </w:rPr>
        <w:t xml:space="preserve"> way too low. Therefore, the </w:t>
      </w:r>
      <w:r w:rsidR="004A1E63" w:rsidRPr="00FC346C">
        <w:rPr>
          <w:rFonts w:ascii="Times New Roman" w:hAnsi="Times New Roman" w:cs="Times New Roman"/>
          <w:sz w:val="23"/>
          <w:szCs w:val="23"/>
        </w:rPr>
        <w:t>RoE</w:t>
      </w:r>
      <w:r w:rsidRPr="00FC346C">
        <w:rPr>
          <w:rFonts w:ascii="Times New Roman" w:hAnsi="Times New Roman" w:cs="Times New Roman"/>
          <w:sz w:val="23"/>
          <w:szCs w:val="23"/>
        </w:rPr>
        <w:t xml:space="preserve"> </w:t>
      </w:r>
      <w:r w:rsidR="004A1E63" w:rsidRPr="00FC346C">
        <w:rPr>
          <w:rFonts w:ascii="Times New Roman" w:hAnsi="Times New Roman" w:cs="Times New Roman"/>
          <w:sz w:val="23"/>
          <w:szCs w:val="23"/>
        </w:rPr>
        <w:t>proposed under the Draft</w:t>
      </w:r>
      <w:r w:rsidRPr="00FC346C">
        <w:rPr>
          <w:rFonts w:ascii="Times New Roman" w:hAnsi="Times New Roman" w:cs="Times New Roman"/>
          <w:sz w:val="23"/>
          <w:szCs w:val="23"/>
        </w:rPr>
        <w:t xml:space="preserve"> Regulations are way higher than the </w:t>
      </w:r>
      <w:r w:rsidR="00871B71" w:rsidRPr="00FC346C">
        <w:rPr>
          <w:rFonts w:ascii="Times New Roman" w:hAnsi="Times New Roman" w:cs="Times New Roman"/>
          <w:sz w:val="23"/>
          <w:szCs w:val="23"/>
        </w:rPr>
        <w:t>RoE</w:t>
      </w:r>
      <w:r w:rsidRPr="00FC346C">
        <w:rPr>
          <w:rFonts w:ascii="Times New Roman" w:hAnsi="Times New Roman" w:cs="Times New Roman"/>
          <w:sz w:val="23"/>
          <w:szCs w:val="23"/>
        </w:rPr>
        <w:t xml:space="preserve"> that needs to be allowed commensurate to the risk of the projects.</w:t>
      </w:r>
    </w:p>
    <w:p w14:paraId="786DA8EC" w14:textId="77777777" w:rsidR="00C74377" w:rsidRPr="00FC346C" w:rsidRDefault="00C74377" w:rsidP="00352DD7">
      <w:pPr>
        <w:pStyle w:val="ListParagraph"/>
        <w:spacing w:after="0" w:line="360" w:lineRule="auto"/>
        <w:ind w:left="426"/>
        <w:jc w:val="both"/>
        <w:rPr>
          <w:rFonts w:ascii="Times New Roman" w:hAnsi="Times New Roman" w:cs="Times New Roman"/>
          <w:sz w:val="23"/>
          <w:szCs w:val="23"/>
        </w:rPr>
      </w:pPr>
    </w:p>
    <w:p w14:paraId="1C301C5B" w14:textId="77777777" w:rsidR="00846835" w:rsidRPr="00FC346C" w:rsidRDefault="00846835" w:rsidP="00352DD7">
      <w:pPr>
        <w:pStyle w:val="ListParagraph"/>
        <w:spacing w:after="0" w:line="360" w:lineRule="auto"/>
        <w:ind w:left="426"/>
        <w:jc w:val="both"/>
        <w:rPr>
          <w:rFonts w:ascii="Times New Roman" w:hAnsi="Times New Roman" w:cs="Times New Roman"/>
          <w:sz w:val="23"/>
          <w:szCs w:val="23"/>
        </w:rPr>
      </w:pPr>
    </w:p>
    <w:p w14:paraId="66811818" w14:textId="77777777" w:rsidR="00846835" w:rsidRPr="00FC346C" w:rsidRDefault="00846835" w:rsidP="00352DD7">
      <w:pPr>
        <w:pStyle w:val="ListParagraph"/>
        <w:spacing w:after="0" w:line="360" w:lineRule="auto"/>
        <w:ind w:left="426"/>
        <w:jc w:val="both"/>
        <w:rPr>
          <w:rFonts w:ascii="Times New Roman" w:hAnsi="Times New Roman" w:cs="Times New Roman"/>
          <w:sz w:val="23"/>
          <w:szCs w:val="23"/>
        </w:rPr>
      </w:pPr>
    </w:p>
    <w:p w14:paraId="180C48B8" w14:textId="77777777" w:rsidR="00846835" w:rsidRPr="00FC346C" w:rsidRDefault="00846835" w:rsidP="00352DD7">
      <w:pPr>
        <w:pStyle w:val="ListParagraph"/>
        <w:spacing w:after="0" w:line="360" w:lineRule="auto"/>
        <w:ind w:left="426"/>
        <w:jc w:val="both"/>
        <w:rPr>
          <w:rFonts w:ascii="Times New Roman" w:hAnsi="Times New Roman" w:cs="Times New Roman"/>
          <w:sz w:val="23"/>
          <w:szCs w:val="23"/>
        </w:rPr>
      </w:pPr>
    </w:p>
    <w:p w14:paraId="086DC41C" w14:textId="06AC00A0" w:rsidR="00C74377" w:rsidRPr="00FC346C" w:rsidRDefault="00C74377" w:rsidP="00352DD7">
      <w:pPr>
        <w:pStyle w:val="ListParagraph"/>
        <w:spacing w:after="0" w:line="360" w:lineRule="auto"/>
        <w:ind w:left="426"/>
        <w:jc w:val="both"/>
        <w:rPr>
          <w:rFonts w:ascii="Times New Roman" w:hAnsi="Times New Roman" w:cs="Times New Roman"/>
          <w:b/>
          <w:bCs/>
          <w:i/>
          <w:iCs/>
          <w:sz w:val="23"/>
          <w:szCs w:val="23"/>
        </w:rPr>
      </w:pPr>
      <w:r w:rsidRPr="00FC346C">
        <w:rPr>
          <w:rFonts w:ascii="Times New Roman" w:hAnsi="Times New Roman" w:cs="Times New Roman"/>
          <w:b/>
          <w:bCs/>
          <w:i/>
          <w:iCs/>
          <w:sz w:val="23"/>
          <w:szCs w:val="23"/>
        </w:rPr>
        <w:t>RoE in TBCB Transmission Projects</w:t>
      </w:r>
    </w:p>
    <w:p w14:paraId="4F5B9B9D" w14:textId="77777777" w:rsidR="00C74377" w:rsidRPr="00FC346C" w:rsidRDefault="00C74377" w:rsidP="00352DD7">
      <w:pPr>
        <w:pStyle w:val="ListParagraph"/>
        <w:spacing w:after="0" w:line="360" w:lineRule="auto"/>
        <w:ind w:left="426"/>
        <w:jc w:val="both"/>
        <w:rPr>
          <w:rFonts w:ascii="Times New Roman" w:hAnsi="Times New Roman" w:cs="Times New Roman"/>
          <w:sz w:val="23"/>
          <w:szCs w:val="23"/>
        </w:rPr>
      </w:pPr>
    </w:p>
    <w:p w14:paraId="55AC3467" w14:textId="45517BBB" w:rsidR="00272416" w:rsidRPr="00FC346C" w:rsidRDefault="009251A6" w:rsidP="00352DD7">
      <w:pPr>
        <w:pStyle w:val="ListParagraph"/>
        <w:numPr>
          <w:ilvl w:val="0"/>
          <w:numId w:val="1"/>
        </w:numPr>
        <w:spacing w:after="0" w:line="360" w:lineRule="auto"/>
        <w:ind w:left="426" w:hanging="426"/>
        <w:jc w:val="both"/>
        <w:rPr>
          <w:rFonts w:ascii="Times New Roman" w:hAnsi="Times New Roman" w:cs="Times New Roman"/>
          <w:sz w:val="23"/>
          <w:szCs w:val="23"/>
        </w:rPr>
      </w:pPr>
      <w:r w:rsidRPr="00FC346C">
        <w:rPr>
          <w:rFonts w:ascii="Times New Roman" w:hAnsi="Times New Roman" w:cs="Times New Roman"/>
          <w:sz w:val="23"/>
          <w:szCs w:val="23"/>
        </w:rPr>
        <w:t xml:space="preserve"> </w:t>
      </w:r>
      <w:r w:rsidR="00272416" w:rsidRPr="00FC346C">
        <w:rPr>
          <w:rFonts w:ascii="Times New Roman" w:hAnsi="Times New Roman" w:cs="Times New Roman"/>
          <w:sz w:val="23"/>
          <w:szCs w:val="23"/>
        </w:rPr>
        <w:t xml:space="preserve">I have analysed 39 schemes under TBCB route for which </w:t>
      </w:r>
      <w:r w:rsidR="00C93BD5" w:rsidRPr="00FC346C">
        <w:rPr>
          <w:rFonts w:ascii="Times New Roman" w:hAnsi="Times New Roman" w:cs="Times New Roman"/>
          <w:sz w:val="23"/>
          <w:szCs w:val="23"/>
        </w:rPr>
        <w:t>this Hon’ble Commission</w:t>
      </w:r>
      <w:r w:rsidR="00272416" w:rsidRPr="00FC346C">
        <w:rPr>
          <w:rFonts w:ascii="Times New Roman" w:hAnsi="Times New Roman" w:cs="Times New Roman"/>
          <w:sz w:val="23"/>
          <w:szCs w:val="23"/>
        </w:rPr>
        <w:t xml:space="preserve"> has issued tariff adoption orders and </w:t>
      </w:r>
      <w:r w:rsidR="00C93BD5" w:rsidRPr="00FC346C">
        <w:rPr>
          <w:rFonts w:ascii="Times New Roman" w:hAnsi="Times New Roman" w:cs="Times New Roman"/>
          <w:sz w:val="23"/>
          <w:szCs w:val="23"/>
        </w:rPr>
        <w:t xml:space="preserve">has </w:t>
      </w:r>
      <w:r w:rsidR="00272416" w:rsidRPr="00FC346C">
        <w:rPr>
          <w:rFonts w:ascii="Times New Roman" w:hAnsi="Times New Roman" w:cs="Times New Roman"/>
          <w:sz w:val="23"/>
          <w:szCs w:val="23"/>
        </w:rPr>
        <w:t>provided</w:t>
      </w:r>
      <w:r w:rsidR="00C93BD5" w:rsidRPr="00FC346C">
        <w:rPr>
          <w:rFonts w:ascii="Times New Roman" w:hAnsi="Times New Roman" w:cs="Times New Roman"/>
          <w:sz w:val="23"/>
          <w:szCs w:val="23"/>
        </w:rPr>
        <w:t xml:space="preserve"> its</w:t>
      </w:r>
      <w:r w:rsidR="00272416" w:rsidRPr="00FC346C">
        <w:rPr>
          <w:rFonts w:ascii="Times New Roman" w:hAnsi="Times New Roman" w:cs="Times New Roman"/>
          <w:sz w:val="23"/>
          <w:szCs w:val="23"/>
        </w:rPr>
        <w:t xml:space="preserve"> assessment of tariff and the L1 tariff received in the bids. Graphical representation </w:t>
      </w:r>
      <w:r w:rsidR="001260E8" w:rsidRPr="00FC346C">
        <w:rPr>
          <w:rFonts w:ascii="Times New Roman" w:hAnsi="Times New Roman" w:cs="Times New Roman"/>
          <w:sz w:val="23"/>
          <w:szCs w:val="23"/>
        </w:rPr>
        <w:t>and d</w:t>
      </w:r>
      <w:r w:rsidR="00272416" w:rsidRPr="00FC346C">
        <w:rPr>
          <w:rFonts w:ascii="Times New Roman" w:hAnsi="Times New Roman" w:cs="Times New Roman"/>
          <w:sz w:val="23"/>
          <w:szCs w:val="23"/>
        </w:rPr>
        <w:t xml:space="preserve">etailed data </w:t>
      </w:r>
      <w:proofErr w:type="gramStart"/>
      <w:r w:rsidR="00272416" w:rsidRPr="00FC346C">
        <w:rPr>
          <w:rFonts w:ascii="Times New Roman" w:hAnsi="Times New Roman" w:cs="Times New Roman"/>
          <w:sz w:val="23"/>
          <w:szCs w:val="23"/>
        </w:rPr>
        <w:t>is</w:t>
      </w:r>
      <w:proofErr w:type="gramEnd"/>
      <w:r w:rsidR="00272416" w:rsidRPr="00FC346C">
        <w:rPr>
          <w:rFonts w:ascii="Times New Roman" w:hAnsi="Times New Roman" w:cs="Times New Roman"/>
          <w:sz w:val="23"/>
          <w:szCs w:val="23"/>
        </w:rPr>
        <w:t xml:space="preserve"> </w:t>
      </w:r>
      <w:r w:rsidR="001260E8" w:rsidRPr="00FC346C">
        <w:rPr>
          <w:rFonts w:ascii="Times New Roman" w:hAnsi="Times New Roman" w:cs="Times New Roman"/>
          <w:sz w:val="23"/>
          <w:szCs w:val="23"/>
        </w:rPr>
        <w:t xml:space="preserve">provided in </w:t>
      </w:r>
      <w:r w:rsidR="001260E8" w:rsidRPr="00FC346C">
        <w:rPr>
          <w:rFonts w:ascii="Times New Roman" w:hAnsi="Times New Roman" w:cs="Times New Roman"/>
          <w:b/>
          <w:bCs/>
          <w:sz w:val="23"/>
          <w:szCs w:val="23"/>
        </w:rPr>
        <w:t>Annexure-II</w:t>
      </w:r>
      <w:r w:rsidR="00272416" w:rsidRPr="00FC346C">
        <w:rPr>
          <w:rFonts w:ascii="Times New Roman" w:hAnsi="Times New Roman" w:cs="Times New Roman"/>
          <w:sz w:val="23"/>
          <w:szCs w:val="23"/>
        </w:rPr>
        <w:t xml:space="preserve"> depicting the reduction in tariff achieved by undertaking </w:t>
      </w:r>
      <w:r w:rsidR="00FF4BA7" w:rsidRPr="00FC346C">
        <w:rPr>
          <w:rFonts w:ascii="Times New Roman" w:hAnsi="Times New Roman" w:cs="Times New Roman"/>
          <w:sz w:val="23"/>
          <w:szCs w:val="23"/>
        </w:rPr>
        <w:t>TBCB</w:t>
      </w:r>
      <w:r w:rsidR="00272416" w:rsidRPr="00FC346C">
        <w:rPr>
          <w:rFonts w:ascii="Times New Roman" w:hAnsi="Times New Roman" w:cs="Times New Roman"/>
          <w:sz w:val="23"/>
          <w:szCs w:val="23"/>
        </w:rPr>
        <w:t>.</w:t>
      </w:r>
    </w:p>
    <w:p w14:paraId="5E105D81" w14:textId="5F411681" w:rsidR="00272416" w:rsidRPr="00FC346C" w:rsidRDefault="00272416" w:rsidP="000918C0">
      <w:pPr>
        <w:pStyle w:val="ListParagraph"/>
        <w:spacing w:after="0" w:line="360" w:lineRule="auto"/>
        <w:ind w:left="284"/>
        <w:jc w:val="both"/>
        <w:rPr>
          <w:rFonts w:ascii="Times New Roman" w:hAnsi="Times New Roman" w:cs="Times New Roman"/>
          <w:sz w:val="23"/>
          <w:szCs w:val="23"/>
        </w:rPr>
      </w:pPr>
    </w:p>
    <w:p w14:paraId="40AE9F3E" w14:textId="1F8D8B97" w:rsidR="00272416" w:rsidRPr="00FC346C" w:rsidRDefault="00272416" w:rsidP="00352DD7">
      <w:pPr>
        <w:pStyle w:val="ListParagraph"/>
        <w:numPr>
          <w:ilvl w:val="0"/>
          <w:numId w:val="1"/>
        </w:numPr>
        <w:spacing w:after="0" w:line="360" w:lineRule="auto"/>
        <w:ind w:left="426" w:hanging="426"/>
        <w:jc w:val="both"/>
        <w:rPr>
          <w:rFonts w:ascii="Times New Roman" w:hAnsi="Times New Roman" w:cs="Times New Roman"/>
          <w:sz w:val="23"/>
          <w:szCs w:val="23"/>
        </w:rPr>
      </w:pPr>
      <w:r w:rsidRPr="00FC346C">
        <w:rPr>
          <w:rFonts w:ascii="Times New Roman" w:hAnsi="Times New Roman" w:cs="Times New Roman"/>
          <w:sz w:val="23"/>
          <w:szCs w:val="23"/>
        </w:rPr>
        <w:t xml:space="preserve">It can be seen from the above that the reduction in tariff achieved is approximately in the range of 35-40% across projects. Most of the tariff parameters are same or comparable for each </w:t>
      </w:r>
      <w:r w:rsidR="00FF4BA7" w:rsidRPr="00FC346C">
        <w:rPr>
          <w:rFonts w:ascii="Times New Roman" w:hAnsi="Times New Roman" w:cs="Times New Roman"/>
          <w:sz w:val="23"/>
          <w:szCs w:val="23"/>
        </w:rPr>
        <w:t>project</w:t>
      </w:r>
      <w:r w:rsidRPr="00FC346C">
        <w:rPr>
          <w:rFonts w:ascii="Times New Roman" w:hAnsi="Times New Roman" w:cs="Times New Roman"/>
          <w:sz w:val="23"/>
          <w:szCs w:val="23"/>
        </w:rPr>
        <w:t xml:space="preserve"> except for the </w:t>
      </w:r>
      <w:r w:rsidR="00FF4BA7" w:rsidRPr="00FC346C">
        <w:rPr>
          <w:rFonts w:ascii="Times New Roman" w:hAnsi="Times New Roman" w:cs="Times New Roman"/>
          <w:sz w:val="23"/>
          <w:szCs w:val="23"/>
        </w:rPr>
        <w:t>RoE</w:t>
      </w:r>
      <w:r w:rsidRPr="00FC346C">
        <w:rPr>
          <w:rFonts w:ascii="Times New Roman" w:hAnsi="Times New Roman" w:cs="Times New Roman"/>
          <w:sz w:val="23"/>
          <w:szCs w:val="23"/>
        </w:rPr>
        <w:t xml:space="preserve"> for each of the projects. It could be inferred that the only variable or differential parameter in </w:t>
      </w:r>
      <w:r w:rsidR="000918C0" w:rsidRPr="00FC346C">
        <w:rPr>
          <w:rFonts w:ascii="Times New Roman" w:hAnsi="Times New Roman" w:cs="Times New Roman"/>
          <w:sz w:val="23"/>
          <w:szCs w:val="23"/>
        </w:rPr>
        <w:t>these kinds of projects</w:t>
      </w:r>
      <w:r w:rsidRPr="00FC346C">
        <w:rPr>
          <w:rFonts w:ascii="Times New Roman" w:hAnsi="Times New Roman" w:cs="Times New Roman"/>
          <w:sz w:val="23"/>
          <w:szCs w:val="23"/>
        </w:rPr>
        <w:t xml:space="preserve"> would be the rate of </w:t>
      </w:r>
      <w:r w:rsidR="00FF4BA7" w:rsidRPr="00FC346C">
        <w:rPr>
          <w:rFonts w:ascii="Times New Roman" w:hAnsi="Times New Roman" w:cs="Times New Roman"/>
          <w:sz w:val="23"/>
          <w:szCs w:val="23"/>
        </w:rPr>
        <w:t>RoE</w:t>
      </w:r>
      <w:r w:rsidRPr="00FC346C">
        <w:rPr>
          <w:rFonts w:ascii="Times New Roman" w:hAnsi="Times New Roman" w:cs="Times New Roman"/>
          <w:sz w:val="23"/>
          <w:szCs w:val="23"/>
        </w:rPr>
        <w:t xml:space="preserve"> built in the tariff by the developers</w:t>
      </w:r>
      <w:r w:rsidR="00FF4BA7" w:rsidRPr="00FC346C">
        <w:rPr>
          <w:rFonts w:ascii="Times New Roman" w:hAnsi="Times New Roman" w:cs="Times New Roman"/>
          <w:sz w:val="23"/>
          <w:szCs w:val="23"/>
        </w:rPr>
        <w:t>,</w:t>
      </w:r>
      <w:r w:rsidRPr="00FC346C">
        <w:rPr>
          <w:rFonts w:ascii="Times New Roman" w:hAnsi="Times New Roman" w:cs="Times New Roman"/>
          <w:sz w:val="23"/>
          <w:szCs w:val="23"/>
        </w:rPr>
        <w:t xml:space="preserve"> which is likely to be around 10-11%</w:t>
      </w:r>
      <w:r w:rsidR="004C7A39" w:rsidRPr="00FC346C">
        <w:rPr>
          <w:rFonts w:ascii="Times New Roman" w:hAnsi="Times New Roman" w:cs="Times New Roman"/>
          <w:sz w:val="23"/>
          <w:szCs w:val="23"/>
        </w:rPr>
        <w:t>,</w:t>
      </w:r>
      <w:r w:rsidRPr="00FC346C">
        <w:rPr>
          <w:rFonts w:ascii="Times New Roman" w:hAnsi="Times New Roman" w:cs="Times New Roman"/>
          <w:sz w:val="23"/>
          <w:szCs w:val="23"/>
        </w:rPr>
        <w:t xml:space="preserve"> which is significantly lower than the </w:t>
      </w:r>
      <w:r w:rsidR="004C7A39" w:rsidRPr="00FC346C">
        <w:rPr>
          <w:rFonts w:ascii="Times New Roman" w:hAnsi="Times New Roman" w:cs="Times New Roman"/>
          <w:sz w:val="23"/>
          <w:szCs w:val="23"/>
        </w:rPr>
        <w:t>guaranteed RoE for RTM transmission projects</w:t>
      </w:r>
      <w:r w:rsidRPr="00FC346C">
        <w:rPr>
          <w:rFonts w:ascii="Times New Roman" w:hAnsi="Times New Roman" w:cs="Times New Roman"/>
          <w:sz w:val="23"/>
          <w:szCs w:val="23"/>
        </w:rPr>
        <w:t xml:space="preserve">. In case these projects </w:t>
      </w:r>
      <w:r w:rsidR="004C7A39" w:rsidRPr="00FC346C">
        <w:rPr>
          <w:rFonts w:ascii="Times New Roman" w:hAnsi="Times New Roman" w:cs="Times New Roman"/>
          <w:sz w:val="23"/>
          <w:szCs w:val="23"/>
        </w:rPr>
        <w:t>were to be</w:t>
      </w:r>
      <w:r w:rsidRPr="00FC346C">
        <w:rPr>
          <w:rFonts w:ascii="Times New Roman" w:hAnsi="Times New Roman" w:cs="Times New Roman"/>
          <w:sz w:val="23"/>
          <w:szCs w:val="23"/>
        </w:rPr>
        <w:t xml:space="preserve"> executed under</w:t>
      </w:r>
      <w:r w:rsidR="004C7A39" w:rsidRPr="00FC346C">
        <w:rPr>
          <w:rFonts w:ascii="Times New Roman" w:hAnsi="Times New Roman" w:cs="Times New Roman"/>
          <w:sz w:val="23"/>
          <w:szCs w:val="23"/>
        </w:rPr>
        <w:t xml:space="preserve"> the</w:t>
      </w:r>
      <w:r w:rsidRPr="00FC346C">
        <w:rPr>
          <w:rFonts w:ascii="Times New Roman" w:hAnsi="Times New Roman" w:cs="Times New Roman"/>
          <w:sz w:val="23"/>
          <w:szCs w:val="23"/>
        </w:rPr>
        <w:t xml:space="preserve"> RTM route, the</w:t>
      </w:r>
      <w:r w:rsidR="004C7A39" w:rsidRPr="00FC346C">
        <w:rPr>
          <w:rFonts w:ascii="Times New Roman" w:hAnsi="Times New Roman" w:cs="Times New Roman"/>
          <w:sz w:val="23"/>
          <w:szCs w:val="23"/>
        </w:rPr>
        <w:t>ir</w:t>
      </w:r>
      <w:r w:rsidRPr="00FC346C">
        <w:rPr>
          <w:rFonts w:ascii="Times New Roman" w:hAnsi="Times New Roman" w:cs="Times New Roman"/>
          <w:sz w:val="23"/>
          <w:szCs w:val="23"/>
        </w:rPr>
        <w:t xml:space="preserve"> tariffs would have been approximately 35-40% higher tariff due to the higher rate of </w:t>
      </w:r>
      <w:r w:rsidR="00FF4BA7" w:rsidRPr="00FC346C">
        <w:rPr>
          <w:rFonts w:ascii="Times New Roman" w:hAnsi="Times New Roman" w:cs="Times New Roman"/>
          <w:sz w:val="23"/>
          <w:szCs w:val="23"/>
        </w:rPr>
        <w:t>RoE</w:t>
      </w:r>
      <w:r w:rsidRPr="00FC346C">
        <w:rPr>
          <w:rFonts w:ascii="Times New Roman" w:hAnsi="Times New Roman" w:cs="Times New Roman"/>
          <w:sz w:val="23"/>
          <w:szCs w:val="23"/>
        </w:rPr>
        <w:t xml:space="preserve"> of 15.50%. In fact, out of these</w:t>
      </w:r>
      <w:r w:rsidR="00FF4BA7" w:rsidRPr="00FC346C">
        <w:rPr>
          <w:rFonts w:ascii="Times New Roman" w:hAnsi="Times New Roman" w:cs="Times New Roman"/>
          <w:sz w:val="23"/>
          <w:szCs w:val="23"/>
        </w:rPr>
        <w:t xml:space="preserve"> </w:t>
      </w:r>
      <w:r w:rsidRPr="00FC346C">
        <w:rPr>
          <w:rFonts w:ascii="Times New Roman" w:hAnsi="Times New Roman" w:cs="Times New Roman"/>
          <w:sz w:val="23"/>
          <w:szCs w:val="23"/>
        </w:rPr>
        <w:t>39 project</w:t>
      </w:r>
      <w:r w:rsidR="00FF4BA7" w:rsidRPr="00FC346C">
        <w:rPr>
          <w:rFonts w:ascii="Times New Roman" w:hAnsi="Times New Roman" w:cs="Times New Roman"/>
          <w:sz w:val="23"/>
          <w:szCs w:val="23"/>
        </w:rPr>
        <w:t>s</w:t>
      </w:r>
      <w:r w:rsidRPr="00FC346C">
        <w:rPr>
          <w:rFonts w:ascii="Times New Roman" w:hAnsi="Times New Roman" w:cs="Times New Roman"/>
          <w:sz w:val="23"/>
          <w:szCs w:val="23"/>
        </w:rPr>
        <w:t xml:space="preserve">, 19 are being executed by PGCIL with such a lower tariff and </w:t>
      </w:r>
      <w:r w:rsidR="00A04F33" w:rsidRPr="00FC346C">
        <w:rPr>
          <w:rFonts w:ascii="Times New Roman" w:hAnsi="Times New Roman" w:cs="Times New Roman"/>
          <w:sz w:val="23"/>
          <w:szCs w:val="23"/>
        </w:rPr>
        <w:t xml:space="preserve">a </w:t>
      </w:r>
      <w:r w:rsidRPr="00FC346C">
        <w:rPr>
          <w:rFonts w:ascii="Times New Roman" w:hAnsi="Times New Roman" w:cs="Times New Roman"/>
          <w:sz w:val="23"/>
          <w:szCs w:val="23"/>
        </w:rPr>
        <w:t xml:space="preserve">corresponding lower </w:t>
      </w:r>
      <w:r w:rsidR="00A04F33" w:rsidRPr="00FC346C">
        <w:rPr>
          <w:rFonts w:ascii="Times New Roman" w:hAnsi="Times New Roman" w:cs="Times New Roman"/>
          <w:sz w:val="23"/>
          <w:szCs w:val="23"/>
        </w:rPr>
        <w:t>RoE</w:t>
      </w:r>
      <w:r w:rsidRPr="00FC346C">
        <w:rPr>
          <w:rFonts w:ascii="Times New Roman" w:hAnsi="Times New Roman" w:cs="Times New Roman"/>
          <w:sz w:val="23"/>
          <w:szCs w:val="23"/>
        </w:rPr>
        <w:t xml:space="preserve">, where the same entity is claiming rate of </w:t>
      </w:r>
      <w:r w:rsidR="00A04F33" w:rsidRPr="00FC346C">
        <w:rPr>
          <w:rFonts w:ascii="Times New Roman" w:hAnsi="Times New Roman" w:cs="Times New Roman"/>
          <w:sz w:val="23"/>
          <w:szCs w:val="23"/>
        </w:rPr>
        <w:t>RoE</w:t>
      </w:r>
      <w:r w:rsidRPr="00FC346C">
        <w:rPr>
          <w:rFonts w:ascii="Times New Roman" w:hAnsi="Times New Roman" w:cs="Times New Roman"/>
          <w:sz w:val="23"/>
          <w:szCs w:val="23"/>
        </w:rPr>
        <w:t xml:space="preserve"> of 15.50% on the regulated projects. Therefore, </w:t>
      </w:r>
      <w:r w:rsidR="00A04F33" w:rsidRPr="00FC346C">
        <w:rPr>
          <w:rFonts w:ascii="Times New Roman" w:hAnsi="Times New Roman" w:cs="Times New Roman"/>
          <w:sz w:val="23"/>
          <w:szCs w:val="23"/>
        </w:rPr>
        <w:t>I</w:t>
      </w:r>
      <w:r w:rsidRPr="00FC346C">
        <w:rPr>
          <w:rFonts w:ascii="Times New Roman" w:hAnsi="Times New Roman" w:cs="Times New Roman"/>
          <w:sz w:val="23"/>
          <w:szCs w:val="23"/>
        </w:rPr>
        <w:t xml:space="preserve"> strongly suggest that </w:t>
      </w:r>
      <w:r w:rsidR="00C93BD5" w:rsidRPr="00FC346C">
        <w:rPr>
          <w:rFonts w:ascii="Times New Roman" w:hAnsi="Times New Roman" w:cs="Times New Roman"/>
          <w:sz w:val="23"/>
          <w:szCs w:val="23"/>
        </w:rPr>
        <w:t>this Hon’ble Commission</w:t>
      </w:r>
      <w:r w:rsidRPr="00FC346C">
        <w:rPr>
          <w:rFonts w:ascii="Times New Roman" w:hAnsi="Times New Roman" w:cs="Times New Roman"/>
          <w:sz w:val="23"/>
          <w:szCs w:val="23"/>
        </w:rPr>
        <w:t xml:space="preserve"> should consider a lower rate of </w:t>
      </w:r>
      <w:r w:rsidR="00A04F33" w:rsidRPr="00FC346C">
        <w:rPr>
          <w:rFonts w:ascii="Times New Roman" w:hAnsi="Times New Roman" w:cs="Times New Roman"/>
          <w:sz w:val="23"/>
          <w:szCs w:val="23"/>
        </w:rPr>
        <w:t>RoE</w:t>
      </w:r>
      <w:r w:rsidRPr="00FC346C">
        <w:rPr>
          <w:rFonts w:ascii="Times New Roman" w:hAnsi="Times New Roman" w:cs="Times New Roman"/>
          <w:sz w:val="23"/>
          <w:szCs w:val="23"/>
        </w:rPr>
        <w:t xml:space="preserve"> compared to </w:t>
      </w:r>
      <w:r w:rsidR="00A04F33" w:rsidRPr="00FC346C">
        <w:rPr>
          <w:rFonts w:ascii="Times New Roman" w:hAnsi="Times New Roman" w:cs="Times New Roman"/>
          <w:sz w:val="23"/>
          <w:szCs w:val="23"/>
        </w:rPr>
        <w:t xml:space="preserve">the </w:t>
      </w:r>
      <w:r w:rsidRPr="00FC346C">
        <w:rPr>
          <w:rFonts w:ascii="Times New Roman" w:hAnsi="Times New Roman" w:cs="Times New Roman"/>
          <w:sz w:val="23"/>
          <w:szCs w:val="23"/>
        </w:rPr>
        <w:t>15</w:t>
      </w:r>
      <w:r w:rsidR="004C7A39" w:rsidRPr="00FC346C">
        <w:rPr>
          <w:rFonts w:ascii="Times New Roman" w:hAnsi="Times New Roman" w:cs="Times New Roman"/>
          <w:sz w:val="23"/>
          <w:szCs w:val="23"/>
        </w:rPr>
        <w:t>%</w:t>
      </w:r>
      <w:r w:rsidRPr="00FC346C">
        <w:rPr>
          <w:rFonts w:ascii="Times New Roman" w:hAnsi="Times New Roman" w:cs="Times New Roman"/>
          <w:sz w:val="23"/>
          <w:szCs w:val="23"/>
        </w:rPr>
        <w:t xml:space="preserve"> proposed in the </w:t>
      </w:r>
      <w:r w:rsidR="00A04F33" w:rsidRPr="00FC346C">
        <w:rPr>
          <w:rFonts w:ascii="Times New Roman" w:hAnsi="Times New Roman" w:cs="Times New Roman"/>
          <w:sz w:val="23"/>
          <w:szCs w:val="23"/>
        </w:rPr>
        <w:t>D</w:t>
      </w:r>
      <w:r w:rsidRPr="00FC346C">
        <w:rPr>
          <w:rFonts w:ascii="Times New Roman" w:hAnsi="Times New Roman" w:cs="Times New Roman"/>
          <w:sz w:val="23"/>
          <w:szCs w:val="23"/>
        </w:rPr>
        <w:t>raft Regulations.</w:t>
      </w:r>
    </w:p>
    <w:p w14:paraId="230ED283" w14:textId="77777777" w:rsidR="009430CB" w:rsidRPr="00FC346C" w:rsidRDefault="009430CB" w:rsidP="009430CB">
      <w:pPr>
        <w:pStyle w:val="ListParagraph"/>
        <w:rPr>
          <w:rFonts w:ascii="Times New Roman" w:hAnsi="Times New Roman" w:cs="Times New Roman"/>
          <w:sz w:val="23"/>
          <w:szCs w:val="23"/>
        </w:rPr>
      </w:pPr>
    </w:p>
    <w:p w14:paraId="3C65A8F0" w14:textId="4AC219E3" w:rsidR="009430CB" w:rsidRPr="00FC346C" w:rsidRDefault="009430CB" w:rsidP="009430CB">
      <w:pPr>
        <w:pStyle w:val="ListParagraph"/>
        <w:spacing w:after="0" w:line="360" w:lineRule="auto"/>
        <w:ind w:left="426"/>
        <w:jc w:val="both"/>
        <w:rPr>
          <w:rFonts w:ascii="Times New Roman" w:hAnsi="Times New Roman" w:cs="Times New Roman"/>
          <w:b/>
          <w:bCs/>
          <w:i/>
          <w:iCs/>
          <w:sz w:val="23"/>
          <w:szCs w:val="23"/>
        </w:rPr>
      </w:pPr>
      <w:r w:rsidRPr="00FC346C">
        <w:rPr>
          <w:rFonts w:ascii="Times New Roman" w:hAnsi="Times New Roman" w:cs="Times New Roman"/>
          <w:b/>
          <w:bCs/>
          <w:i/>
          <w:iCs/>
          <w:sz w:val="23"/>
          <w:szCs w:val="23"/>
        </w:rPr>
        <w:t>Need for an equitable and uniform RoE framework for TBCB and RTM projects</w:t>
      </w:r>
    </w:p>
    <w:p w14:paraId="2A33A315" w14:textId="77777777" w:rsidR="009430CB" w:rsidRPr="00FC346C" w:rsidRDefault="009430CB" w:rsidP="009430CB">
      <w:pPr>
        <w:pStyle w:val="ListParagraph"/>
        <w:rPr>
          <w:rFonts w:ascii="Times New Roman" w:hAnsi="Times New Roman" w:cs="Times New Roman"/>
          <w:sz w:val="23"/>
          <w:szCs w:val="23"/>
        </w:rPr>
      </w:pPr>
    </w:p>
    <w:p w14:paraId="57D7934A" w14:textId="77777777" w:rsidR="003E5CB4" w:rsidRPr="00FC346C" w:rsidRDefault="009430CB" w:rsidP="003E5CB4">
      <w:pPr>
        <w:pStyle w:val="ListParagraph"/>
        <w:numPr>
          <w:ilvl w:val="0"/>
          <w:numId w:val="1"/>
        </w:numPr>
        <w:spacing w:after="0" w:line="360" w:lineRule="auto"/>
        <w:ind w:left="426" w:hanging="426"/>
        <w:jc w:val="both"/>
        <w:rPr>
          <w:rFonts w:ascii="Times New Roman" w:hAnsi="Times New Roman" w:cs="Times New Roman"/>
          <w:sz w:val="23"/>
          <w:szCs w:val="23"/>
        </w:rPr>
      </w:pPr>
      <w:r w:rsidRPr="00FC346C">
        <w:rPr>
          <w:rFonts w:ascii="Times New Roman" w:hAnsi="Times New Roman" w:cs="Times New Roman"/>
          <w:sz w:val="23"/>
          <w:szCs w:val="23"/>
        </w:rPr>
        <w:t xml:space="preserve">Ensuring consistency across TBCB and RTM transmission projects is paramount for maintaining fairness and equity within the regulatory framework. Presently, there exists a glaring incongruity in the RoE between these two categories of projects. TBCB projects typically have their </w:t>
      </w:r>
      <w:proofErr w:type="spellStart"/>
      <w:r w:rsidRPr="00FC346C">
        <w:rPr>
          <w:rFonts w:ascii="Times New Roman" w:hAnsi="Times New Roman" w:cs="Times New Roman"/>
          <w:sz w:val="23"/>
          <w:szCs w:val="23"/>
        </w:rPr>
        <w:t>RoEs</w:t>
      </w:r>
      <w:proofErr w:type="spellEnd"/>
      <w:r w:rsidRPr="00FC346C">
        <w:rPr>
          <w:rFonts w:ascii="Times New Roman" w:hAnsi="Times New Roman" w:cs="Times New Roman"/>
          <w:sz w:val="23"/>
          <w:szCs w:val="23"/>
        </w:rPr>
        <w:t xml:space="preserve"> ranging from 10% to 11%, reflecting a balance between attracting investments and ensuring reasonable returns for investors. However, in contrast, entities like PGCIL have been enjoying substantially higher </w:t>
      </w:r>
      <w:proofErr w:type="spellStart"/>
      <w:r w:rsidRPr="00FC346C">
        <w:rPr>
          <w:rFonts w:ascii="Times New Roman" w:hAnsi="Times New Roman" w:cs="Times New Roman"/>
          <w:sz w:val="23"/>
          <w:szCs w:val="23"/>
        </w:rPr>
        <w:t>RoEs</w:t>
      </w:r>
      <w:proofErr w:type="spellEnd"/>
      <w:r w:rsidRPr="00FC346C">
        <w:rPr>
          <w:rFonts w:ascii="Times New Roman" w:hAnsi="Times New Roman" w:cs="Times New Roman"/>
          <w:sz w:val="23"/>
          <w:szCs w:val="23"/>
        </w:rPr>
        <w:t>, reportedly around 20% in the recent years. Such a stark contrast raises questions about the consistency and fairness of the regulatory approach.</w:t>
      </w:r>
    </w:p>
    <w:p w14:paraId="4F778C88" w14:textId="77777777" w:rsidR="003E5CB4" w:rsidRPr="00FC346C" w:rsidRDefault="003E5CB4" w:rsidP="003E5CB4">
      <w:pPr>
        <w:pStyle w:val="ListParagraph"/>
        <w:spacing w:after="0" w:line="360" w:lineRule="auto"/>
        <w:ind w:left="426"/>
        <w:jc w:val="both"/>
        <w:rPr>
          <w:rFonts w:ascii="Times New Roman" w:hAnsi="Times New Roman" w:cs="Times New Roman"/>
          <w:sz w:val="23"/>
          <w:szCs w:val="23"/>
        </w:rPr>
      </w:pPr>
    </w:p>
    <w:p w14:paraId="24998CFD" w14:textId="24837CD2" w:rsidR="009430CB" w:rsidRPr="00FC346C" w:rsidRDefault="009430CB" w:rsidP="003E5CB4">
      <w:pPr>
        <w:pStyle w:val="ListParagraph"/>
        <w:numPr>
          <w:ilvl w:val="0"/>
          <w:numId w:val="1"/>
        </w:numPr>
        <w:spacing w:after="0" w:line="360" w:lineRule="auto"/>
        <w:ind w:left="426" w:hanging="426"/>
        <w:jc w:val="both"/>
        <w:rPr>
          <w:rFonts w:ascii="Times New Roman" w:hAnsi="Times New Roman" w:cs="Times New Roman"/>
          <w:sz w:val="23"/>
          <w:szCs w:val="23"/>
        </w:rPr>
      </w:pPr>
      <w:r w:rsidRPr="00FC346C">
        <w:rPr>
          <w:rFonts w:ascii="Times New Roman" w:hAnsi="Times New Roman" w:cs="Times New Roman"/>
          <w:sz w:val="23"/>
          <w:szCs w:val="23"/>
        </w:rPr>
        <w:t xml:space="preserve">The disparity in </w:t>
      </w:r>
      <w:proofErr w:type="spellStart"/>
      <w:r w:rsidRPr="00FC346C">
        <w:rPr>
          <w:rFonts w:ascii="Times New Roman" w:hAnsi="Times New Roman" w:cs="Times New Roman"/>
          <w:sz w:val="23"/>
          <w:szCs w:val="23"/>
        </w:rPr>
        <w:t>RoEs</w:t>
      </w:r>
      <w:proofErr w:type="spellEnd"/>
      <w:r w:rsidRPr="00FC346C">
        <w:rPr>
          <w:rFonts w:ascii="Times New Roman" w:hAnsi="Times New Roman" w:cs="Times New Roman"/>
          <w:sz w:val="23"/>
          <w:szCs w:val="23"/>
        </w:rPr>
        <w:t xml:space="preserve"> between TBCB and </w:t>
      </w:r>
      <w:r w:rsidR="003E5CB4" w:rsidRPr="00FC346C">
        <w:rPr>
          <w:rFonts w:ascii="Times New Roman" w:hAnsi="Times New Roman" w:cs="Times New Roman"/>
          <w:sz w:val="23"/>
          <w:szCs w:val="23"/>
        </w:rPr>
        <w:t>RTM</w:t>
      </w:r>
      <w:r w:rsidRPr="00FC346C">
        <w:rPr>
          <w:rFonts w:ascii="Times New Roman" w:hAnsi="Times New Roman" w:cs="Times New Roman"/>
          <w:sz w:val="23"/>
          <w:szCs w:val="23"/>
        </w:rPr>
        <w:t xml:space="preserve"> projects underscores the need for harmonization within the regulatory regime. While it</w:t>
      </w:r>
      <w:r w:rsidR="00CC1F30">
        <w:rPr>
          <w:rFonts w:ascii="Times New Roman" w:hAnsi="Times New Roman" w:cs="Times New Roman"/>
          <w:sz w:val="23"/>
          <w:szCs w:val="23"/>
        </w:rPr>
        <w:t>’</w:t>
      </w:r>
      <w:r w:rsidRPr="00FC346C">
        <w:rPr>
          <w:rFonts w:ascii="Times New Roman" w:hAnsi="Times New Roman" w:cs="Times New Roman"/>
          <w:sz w:val="23"/>
          <w:szCs w:val="23"/>
        </w:rPr>
        <w:t xml:space="preserve">s understandable that different projects may warrant different returns based on various factors, such as risk profiles and market conditions, a significant gap in </w:t>
      </w:r>
      <w:proofErr w:type="spellStart"/>
      <w:r w:rsidRPr="00FC346C">
        <w:rPr>
          <w:rFonts w:ascii="Times New Roman" w:hAnsi="Times New Roman" w:cs="Times New Roman"/>
          <w:sz w:val="23"/>
          <w:szCs w:val="23"/>
        </w:rPr>
        <w:t>RoEs</w:t>
      </w:r>
      <w:proofErr w:type="spellEnd"/>
      <w:r w:rsidRPr="00FC346C">
        <w:rPr>
          <w:rFonts w:ascii="Times New Roman" w:hAnsi="Times New Roman" w:cs="Times New Roman"/>
          <w:sz w:val="23"/>
          <w:szCs w:val="23"/>
        </w:rPr>
        <w:t xml:space="preserve"> without a clear rationale </w:t>
      </w:r>
      <w:r w:rsidR="003E5CB4" w:rsidRPr="00FC346C">
        <w:rPr>
          <w:rFonts w:ascii="Times New Roman" w:hAnsi="Times New Roman" w:cs="Times New Roman"/>
          <w:sz w:val="23"/>
          <w:szCs w:val="23"/>
        </w:rPr>
        <w:t>must be rectified</w:t>
      </w:r>
      <w:r w:rsidRPr="00FC346C">
        <w:rPr>
          <w:rFonts w:ascii="Times New Roman" w:hAnsi="Times New Roman" w:cs="Times New Roman"/>
          <w:sz w:val="23"/>
          <w:szCs w:val="23"/>
        </w:rPr>
        <w:t>. I</w:t>
      </w:r>
      <w:r w:rsidR="003E5CB4" w:rsidRPr="00FC346C">
        <w:rPr>
          <w:rFonts w:ascii="Times New Roman" w:hAnsi="Times New Roman" w:cs="Times New Roman"/>
          <w:sz w:val="23"/>
          <w:szCs w:val="23"/>
        </w:rPr>
        <w:t>f the same is not rectified, i</w:t>
      </w:r>
      <w:r w:rsidRPr="00FC346C">
        <w:rPr>
          <w:rFonts w:ascii="Times New Roman" w:hAnsi="Times New Roman" w:cs="Times New Roman"/>
          <w:sz w:val="23"/>
          <w:szCs w:val="23"/>
        </w:rPr>
        <w:t xml:space="preserve">nvestors participating in TBCB projects may perceive this gap as unfair, potentially undermining </w:t>
      </w:r>
      <w:r w:rsidR="003E5CB4" w:rsidRPr="00FC346C">
        <w:rPr>
          <w:rFonts w:ascii="Times New Roman" w:hAnsi="Times New Roman" w:cs="Times New Roman"/>
          <w:sz w:val="23"/>
          <w:szCs w:val="23"/>
        </w:rPr>
        <w:t xml:space="preserve">their </w:t>
      </w:r>
      <w:r w:rsidRPr="00FC346C">
        <w:rPr>
          <w:rFonts w:ascii="Times New Roman" w:hAnsi="Times New Roman" w:cs="Times New Roman"/>
          <w:sz w:val="23"/>
          <w:szCs w:val="23"/>
        </w:rPr>
        <w:t>confidence in the transparency and consistency of regulatory decisio</w:t>
      </w:r>
      <w:r w:rsidR="00A42292">
        <w:rPr>
          <w:rFonts w:ascii="Times New Roman" w:hAnsi="Times New Roman" w:cs="Times New Roman"/>
          <w:sz w:val="23"/>
          <w:szCs w:val="23"/>
        </w:rPr>
        <w:t>n</w:t>
      </w:r>
      <w:r w:rsidRPr="00FC346C">
        <w:rPr>
          <w:rFonts w:ascii="Times New Roman" w:hAnsi="Times New Roman" w:cs="Times New Roman"/>
          <w:sz w:val="23"/>
          <w:szCs w:val="23"/>
        </w:rPr>
        <w:t>s.</w:t>
      </w:r>
    </w:p>
    <w:p w14:paraId="31C299C2" w14:textId="77777777" w:rsidR="009430CB" w:rsidRPr="00FC346C" w:rsidRDefault="009430CB" w:rsidP="009430CB">
      <w:pPr>
        <w:pStyle w:val="ListParagraph"/>
        <w:spacing w:after="0" w:line="360" w:lineRule="auto"/>
        <w:ind w:left="426"/>
        <w:jc w:val="both"/>
        <w:rPr>
          <w:rFonts w:ascii="Times New Roman" w:hAnsi="Times New Roman" w:cs="Times New Roman"/>
          <w:sz w:val="23"/>
          <w:szCs w:val="23"/>
        </w:rPr>
      </w:pPr>
    </w:p>
    <w:p w14:paraId="119164C5" w14:textId="67B6B711" w:rsidR="009430CB" w:rsidRPr="00FC346C" w:rsidRDefault="009430CB" w:rsidP="003E5CB4">
      <w:pPr>
        <w:pStyle w:val="ListParagraph"/>
        <w:numPr>
          <w:ilvl w:val="0"/>
          <w:numId w:val="1"/>
        </w:numPr>
        <w:spacing w:after="0" w:line="360" w:lineRule="auto"/>
        <w:ind w:left="426" w:hanging="426"/>
        <w:jc w:val="both"/>
        <w:rPr>
          <w:rFonts w:ascii="Times New Roman" w:hAnsi="Times New Roman" w:cs="Times New Roman"/>
          <w:sz w:val="23"/>
          <w:szCs w:val="23"/>
        </w:rPr>
      </w:pPr>
      <w:r w:rsidRPr="00FC346C">
        <w:rPr>
          <w:rFonts w:ascii="Times New Roman" w:hAnsi="Times New Roman" w:cs="Times New Roman"/>
          <w:sz w:val="23"/>
          <w:szCs w:val="23"/>
        </w:rPr>
        <w:t xml:space="preserve">Moreover, aligning </w:t>
      </w:r>
      <w:proofErr w:type="spellStart"/>
      <w:r w:rsidRPr="00FC346C">
        <w:rPr>
          <w:rFonts w:ascii="Times New Roman" w:hAnsi="Times New Roman" w:cs="Times New Roman"/>
          <w:sz w:val="23"/>
          <w:szCs w:val="23"/>
        </w:rPr>
        <w:t>RoEs</w:t>
      </w:r>
      <w:proofErr w:type="spellEnd"/>
      <w:r w:rsidRPr="00FC346C">
        <w:rPr>
          <w:rFonts w:ascii="Times New Roman" w:hAnsi="Times New Roman" w:cs="Times New Roman"/>
          <w:sz w:val="23"/>
          <w:szCs w:val="23"/>
        </w:rPr>
        <w:t xml:space="preserve"> across TBCB and RTM projects is essential for promoting healthy competition and fostering a level playing field in the transmission sector. A disproportionate RoE advantage for entities like PGCIL could inadvertently discourage private investment in TBCB projects, limiting competition and innovation in the sector. Conversely, providing a more equitable RoE framework across all transmission projects encourages broader participation, stimulates investment</w:t>
      </w:r>
      <w:r w:rsidR="003E5CB4" w:rsidRPr="00FC346C">
        <w:rPr>
          <w:rFonts w:ascii="Times New Roman" w:hAnsi="Times New Roman" w:cs="Times New Roman"/>
          <w:sz w:val="23"/>
          <w:szCs w:val="23"/>
        </w:rPr>
        <w:t xml:space="preserve"> in TBCB projects in line with the NTP’s mandate</w:t>
      </w:r>
      <w:r w:rsidRPr="00FC346C">
        <w:rPr>
          <w:rFonts w:ascii="Times New Roman" w:hAnsi="Times New Roman" w:cs="Times New Roman"/>
          <w:sz w:val="23"/>
          <w:szCs w:val="23"/>
        </w:rPr>
        <w:t>, and ultimately benefits consumers through improved efficiency and cost-effectiveness in project execution.</w:t>
      </w:r>
    </w:p>
    <w:p w14:paraId="11D3A360" w14:textId="77777777" w:rsidR="009430CB" w:rsidRPr="00FC346C" w:rsidRDefault="009430CB" w:rsidP="009430CB">
      <w:pPr>
        <w:pStyle w:val="ListParagraph"/>
        <w:spacing w:after="0" w:line="360" w:lineRule="auto"/>
        <w:ind w:left="426"/>
        <w:jc w:val="both"/>
        <w:rPr>
          <w:rFonts w:ascii="Times New Roman" w:hAnsi="Times New Roman" w:cs="Times New Roman"/>
          <w:sz w:val="23"/>
          <w:szCs w:val="23"/>
        </w:rPr>
      </w:pPr>
    </w:p>
    <w:p w14:paraId="18776BC8" w14:textId="7F2F4A20" w:rsidR="009430CB" w:rsidRPr="00FC346C" w:rsidRDefault="009430CB" w:rsidP="003E5CB4">
      <w:pPr>
        <w:pStyle w:val="ListParagraph"/>
        <w:numPr>
          <w:ilvl w:val="0"/>
          <w:numId w:val="1"/>
        </w:numPr>
        <w:spacing w:after="0" w:line="360" w:lineRule="auto"/>
        <w:ind w:left="426" w:hanging="426"/>
        <w:jc w:val="both"/>
        <w:rPr>
          <w:rFonts w:ascii="Times New Roman" w:hAnsi="Times New Roman" w:cs="Times New Roman"/>
          <w:sz w:val="23"/>
          <w:szCs w:val="23"/>
        </w:rPr>
      </w:pPr>
      <w:r w:rsidRPr="00FC346C">
        <w:rPr>
          <w:rFonts w:ascii="Times New Roman" w:hAnsi="Times New Roman" w:cs="Times New Roman"/>
          <w:sz w:val="23"/>
          <w:szCs w:val="23"/>
        </w:rPr>
        <w:t xml:space="preserve">In summary, achieving consistency in </w:t>
      </w:r>
      <w:proofErr w:type="spellStart"/>
      <w:r w:rsidRPr="00FC346C">
        <w:rPr>
          <w:rFonts w:ascii="Times New Roman" w:hAnsi="Times New Roman" w:cs="Times New Roman"/>
          <w:sz w:val="23"/>
          <w:szCs w:val="23"/>
        </w:rPr>
        <w:t>RoEs</w:t>
      </w:r>
      <w:proofErr w:type="spellEnd"/>
      <w:r w:rsidRPr="00FC346C">
        <w:rPr>
          <w:rFonts w:ascii="Times New Roman" w:hAnsi="Times New Roman" w:cs="Times New Roman"/>
          <w:sz w:val="23"/>
          <w:szCs w:val="23"/>
        </w:rPr>
        <w:t xml:space="preserve"> between TBCB and RTM projects is crucial for upholding the principles of fairness, transparency, and competitiveness within the regulatory framework. Addressing the disparity in </w:t>
      </w:r>
      <w:proofErr w:type="spellStart"/>
      <w:r w:rsidRPr="00FC346C">
        <w:rPr>
          <w:rFonts w:ascii="Times New Roman" w:hAnsi="Times New Roman" w:cs="Times New Roman"/>
          <w:sz w:val="23"/>
          <w:szCs w:val="23"/>
        </w:rPr>
        <w:t>RoEs</w:t>
      </w:r>
      <w:proofErr w:type="spellEnd"/>
      <w:r w:rsidRPr="00FC346C">
        <w:rPr>
          <w:rFonts w:ascii="Times New Roman" w:hAnsi="Times New Roman" w:cs="Times New Roman"/>
          <w:sz w:val="23"/>
          <w:szCs w:val="23"/>
        </w:rPr>
        <w:t xml:space="preserve"> will not only enhance investor confidence but also promote a more vibrant and dynamic transmission sector, ultimately serving the best interests of stakeholders and consumers alike.</w:t>
      </w:r>
    </w:p>
    <w:p w14:paraId="07F2B9F4" w14:textId="77777777" w:rsidR="009430CB" w:rsidRPr="00FC346C" w:rsidRDefault="009430CB" w:rsidP="00352DD7">
      <w:pPr>
        <w:pStyle w:val="ListParagraph"/>
        <w:spacing w:after="0" w:line="360" w:lineRule="auto"/>
        <w:ind w:left="426"/>
        <w:jc w:val="both"/>
        <w:rPr>
          <w:rFonts w:ascii="Times New Roman" w:hAnsi="Times New Roman" w:cs="Times New Roman"/>
          <w:b/>
          <w:bCs/>
          <w:i/>
          <w:iCs/>
          <w:sz w:val="23"/>
          <w:szCs w:val="23"/>
        </w:rPr>
      </w:pPr>
    </w:p>
    <w:p w14:paraId="70D8E1F6" w14:textId="1EB7B2F9" w:rsidR="00DF7C05" w:rsidRPr="00FC346C" w:rsidRDefault="00DF7C05" w:rsidP="00352DD7">
      <w:pPr>
        <w:pStyle w:val="Default"/>
        <w:spacing w:line="276" w:lineRule="auto"/>
        <w:ind w:left="-76"/>
        <w:jc w:val="both"/>
        <w:rPr>
          <w:rFonts w:ascii="Times New Roman" w:hAnsi="Times New Roman" w:cs="Times New Roman"/>
          <w:b/>
          <w:smallCaps/>
          <w:sz w:val="23"/>
          <w:szCs w:val="23"/>
        </w:rPr>
      </w:pPr>
      <w:r w:rsidRPr="00FC346C">
        <w:rPr>
          <w:rFonts w:ascii="Times New Roman" w:hAnsi="Times New Roman" w:cs="Times New Roman"/>
          <w:b/>
          <w:smallCaps/>
          <w:sz w:val="23"/>
          <w:szCs w:val="23"/>
        </w:rPr>
        <w:t xml:space="preserve">Non-adjustment of Non-Tariff Income for </w:t>
      </w:r>
      <w:r w:rsidR="000918C0" w:rsidRPr="00FC346C">
        <w:rPr>
          <w:rFonts w:ascii="Times New Roman" w:hAnsi="Times New Roman" w:cs="Times New Roman"/>
          <w:b/>
          <w:smallCaps/>
          <w:sz w:val="23"/>
          <w:szCs w:val="23"/>
        </w:rPr>
        <w:t>RTM Transmission Licensees</w:t>
      </w:r>
    </w:p>
    <w:p w14:paraId="3A30BD12" w14:textId="77777777" w:rsidR="00DF7C05" w:rsidRPr="00FC346C" w:rsidRDefault="00DF7C05" w:rsidP="00352DD7">
      <w:pPr>
        <w:pStyle w:val="ListParagraph"/>
        <w:spacing w:after="0" w:line="360" w:lineRule="auto"/>
        <w:ind w:left="426"/>
        <w:jc w:val="both"/>
        <w:rPr>
          <w:rFonts w:ascii="Times New Roman" w:hAnsi="Times New Roman" w:cs="Times New Roman"/>
          <w:sz w:val="23"/>
          <w:szCs w:val="23"/>
        </w:rPr>
      </w:pPr>
    </w:p>
    <w:p w14:paraId="4B61A117" w14:textId="01E439DB" w:rsidR="00DF7C05" w:rsidRPr="00FC346C" w:rsidRDefault="00DF7C05" w:rsidP="00352DD7">
      <w:pPr>
        <w:pStyle w:val="ListParagraph"/>
        <w:numPr>
          <w:ilvl w:val="0"/>
          <w:numId w:val="1"/>
        </w:numPr>
        <w:spacing w:after="0" w:line="360" w:lineRule="auto"/>
        <w:ind w:left="426" w:hanging="426"/>
        <w:jc w:val="both"/>
        <w:rPr>
          <w:rFonts w:ascii="Times New Roman" w:hAnsi="Times New Roman" w:cs="Times New Roman"/>
          <w:sz w:val="23"/>
          <w:szCs w:val="23"/>
        </w:rPr>
      </w:pPr>
      <w:r w:rsidRPr="00FC346C">
        <w:rPr>
          <w:rFonts w:ascii="Times New Roman" w:hAnsi="Times New Roman" w:cs="Times New Roman"/>
          <w:sz w:val="23"/>
          <w:szCs w:val="23"/>
        </w:rPr>
        <w:t xml:space="preserve">The existing provision for Non-Tariff Income in the 2019 CERC Tariff Regulations is as follows: </w:t>
      </w:r>
    </w:p>
    <w:p w14:paraId="6E50C6A8" w14:textId="77777777" w:rsidR="00DF7C05" w:rsidRPr="00FC346C" w:rsidRDefault="00DF7C05" w:rsidP="00352DD7">
      <w:pPr>
        <w:pStyle w:val="ListParagraph"/>
        <w:spacing w:after="0" w:line="276" w:lineRule="auto"/>
        <w:ind w:left="284"/>
        <w:jc w:val="both"/>
        <w:rPr>
          <w:rFonts w:ascii="Times New Roman" w:hAnsi="Times New Roman" w:cs="Times New Roman"/>
          <w:i/>
          <w:sz w:val="23"/>
          <w:szCs w:val="23"/>
        </w:rPr>
      </w:pPr>
    </w:p>
    <w:p w14:paraId="7B6DB99B" w14:textId="20476740" w:rsidR="00DF7C05" w:rsidRPr="00FC346C" w:rsidRDefault="00DF7C05" w:rsidP="00352DD7">
      <w:pPr>
        <w:pStyle w:val="ListParagraph"/>
        <w:spacing w:after="0" w:line="240" w:lineRule="auto"/>
        <w:ind w:left="851"/>
        <w:jc w:val="both"/>
        <w:rPr>
          <w:rFonts w:ascii="Times New Roman" w:hAnsi="Times New Roman" w:cs="Times New Roman"/>
          <w:i/>
          <w:sz w:val="23"/>
          <w:szCs w:val="23"/>
        </w:rPr>
      </w:pPr>
      <w:r w:rsidRPr="00FC346C">
        <w:rPr>
          <w:rFonts w:ascii="Times New Roman" w:hAnsi="Times New Roman" w:cs="Times New Roman"/>
          <w:i/>
          <w:sz w:val="23"/>
          <w:szCs w:val="23"/>
        </w:rPr>
        <w:t xml:space="preserve">“62. Sharing of Non-Tariff Income: The non-tariff net income in case of generating station and transmission system from </w:t>
      </w:r>
      <w:r w:rsidRPr="00FC346C">
        <w:rPr>
          <w:rFonts w:ascii="Times New Roman" w:hAnsi="Times New Roman" w:cs="Times New Roman"/>
          <w:b/>
          <w:i/>
          <w:sz w:val="23"/>
          <w:szCs w:val="23"/>
        </w:rPr>
        <w:t>rent of land or buildings, sale of scrap and advertisements shall be shared</w:t>
      </w:r>
      <w:r w:rsidRPr="00FC346C">
        <w:rPr>
          <w:rFonts w:ascii="Times New Roman" w:hAnsi="Times New Roman" w:cs="Times New Roman"/>
          <w:i/>
          <w:sz w:val="23"/>
          <w:szCs w:val="23"/>
        </w:rPr>
        <w:t xml:space="preserve"> between the beneficiaries or the long term customers and the generating company or the transmission licensee</w:t>
      </w:r>
      <w:proofErr w:type="gramStart"/>
      <w:r w:rsidRPr="00FC346C">
        <w:rPr>
          <w:rFonts w:ascii="Times New Roman" w:hAnsi="Times New Roman" w:cs="Times New Roman"/>
          <w:i/>
          <w:sz w:val="23"/>
          <w:szCs w:val="23"/>
        </w:rPr>
        <w:t>, as the case may be, in</w:t>
      </w:r>
      <w:proofErr w:type="gramEnd"/>
      <w:r w:rsidRPr="00FC346C">
        <w:rPr>
          <w:rFonts w:ascii="Times New Roman" w:hAnsi="Times New Roman" w:cs="Times New Roman"/>
          <w:i/>
          <w:sz w:val="23"/>
          <w:szCs w:val="23"/>
        </w:rPr>
        <w:t xml:space="preserve"> the ratio 50:50.”</w:t>
      </w:r>
    </w:p>
    <w:p w14:paraId="3B766FBC" w14:textId="77777777" w:rsidR="00DF7C05" w:rsidRPr="00FC346C" w:rsidRDefault="00DF7C05" w:rsidP="00352DD7">
      <w:pPr>
        <w:pStyle w:val="ListParagraph"/>
        <w:spacing w:after="0" w:line="276" w:lineRule="auto"/>
        <w:ind w:left="284"/>
        <w:jc w:val="both"/>
        <w:rPr>
          <w:rFonts w:ascii="Times New Roman" w:hAnsi="Times New Roman" w:cs="Times New Roman"/>
          <w:sz w:val="23"/>
          <w:szCs w:val="23"/>
        </w:rPr>
      </w:pPr>
    </w:p>
    <w:p w14:paraId="49A96606" w14:textId="3DF520FA" w:rsidR="00DF7C05" w:rsidRPr="00FC346C" w:rsidRDefault="00DF7C05" w:rsidP="00352DD7">
      <w:pPr>
        <w:pStyle w:val="ListParagraph"/>
        <w:numPr>
          <w:ilvl w:val="0"/>
          <w:numId w:val="1"/>
        </w:numPr>
        <w:spacing w:after="0" w:line="360" w:lineRule="auto"/>
        <w:ind w:left="426" w:hanging="426"/>
        <w:jc w:val="both"/>
        <w:rPr>
          <w:rFonts w:ascii="Times New Roman" w:hAnsi="Times New Roman" w:cs="Times New Roman"/>
          <w:sz w:val="23"/>
          <w:szCs w:val="23"/>
        </w:rPr>
      </w:pPr>
      <w:r w:rsidRPr="00FC346C">
        <w:rPr>
          <w:rFonts w:ascii="Times New Roman" w:hAnsi="Times New Roman" w:cs="Times New Roman"/>
          <w:sz w:val="23"/>
          <w:szCs w:val="23"/>
        </w:rPr>
        <w:t>The proposed provision for Non-Tariff Income in the Draft Regulations is as follows:</w:t>
      </w:r>
    </w:p>
    <w:p w14:paraId="6A6F5460" w14:textId="77777777" w:rsidR="00DF7C05" w:rsidRPr="00FC346C" w:rsidRDefault="00DF7C05" w:rsidP="00352DD7">
      <w:pPr>
        <w:pStyle w:val="Default"/>
        <w:spacing w:line="276" w:lineRule="auto"/>
        <w:ind w:left="284"/>
        <w:jc w:val="both"/>
        <w:rPr>
          <w:rFonts w:ascii="Times New Roman" w:hAnsi="Times New Roman" w:cs="Times New Roman"/>
          <w:i/>
          <w:sz w:val="23"/>
          <w:szCs w:val="23"/>
        </w:rPr>
      </w:pPr>
    </w:p>
    <w:p w14:paraId="02BBCF26" w14:textId="03BFA6D1" w:rsidR="00DF7C05" w:rsidRPr="00FC346C" w:rsidRDefault="00DF7C05" w:rsidP="00352DD7">
      <w:pPr>
        <w:pStyle w:val="Default"/>
        <w:ind w:left="851"/>
        <w:jc w:val="both"/>
        <w:rPr>
          <w:rFonts w:ascii="Times New Roman" w:hAnsi="Times New Roman" w:cs="Times New Roman"/>
          <w:i/>
          <w:sz w:val="23"/>
          <w:szCs w:val="23"/>
        </w:rPr>
      </w:pPr>
      <w:r w:rsidRPr="00FC346C">
        <w:rPr>
          <w:rFonts w:ascii="Times New Roman" w:hAnsi="Times New Roman" w:cs="Times New Roman"/>
          <w:i/>
          <w:sz w:val="23"/>
          <w:szCs w:val="23"/>
        </w:rPr>
        <w:t xml:space="preserve">“84. Sharing of Non-Tariff Income: The non-tariff net income in case of generating station and transmission system from </w:t>
      </w:r>
      <w:r w:rsidRPr="00FC346C">
        <w:rPr>
          <w:rFonts w:ascii="Times New Roman" w:hAnsi="Times New Roman" w:cs="Times New Roman"/>
          <w:b/>
          <w:i/>
          <w:sz w:val="23"/>
          <w:szCs w:val="23"/>
        </w:rPr>
        <w:t>rent of land or buildings, eco-tourism, sale of scrap, and advertisements</w:t>
      </w:r>
      <w:r w:rsidRPr="00FC346C">
        <w:rPr>
          <w:rFonts w:ascii="Times New Roman" w:hAnsi="Times New Roman" w:cs="Times New Roman"/>
          <w:i/>
          <w:sz w:val="23"/>
          <w:szCs w:val="23"/>
        </w:rPr>
        <w:t xml:space="preserve"> shall be shared between the generating company or the transmission licensee and the beneficiaries or the long term customers</w:t>
      </w:r>
      <w:proofErr w:type="gramStart"/>
      <w:r w:rsidRPr="00FC346C">
        <w:rPr>
          <w:rFonts w:ascii="Times New Roman" w:hAnsi="Times New Roman" w:cs="Times New Roman"/>
          <w:i/>
          <w:sz w:val="23"/>
          <w:szCs w:val="23"/>
        </w:rPr>
        <w:t>, as the case may be, in</w:t>
      </w:r>
      <w:proofErr w:type="gramEnd"/>
      <w:r w:rsidRPr="00FC346C">
        <w:rPr>
          <w:rFonts w:ascii="Times New Roman" w:hAnsi="Times New Roman" w:cs="Times New Roman"/>
          <w:i/>
          <w:sz w:val="23"/>
          <w:szCs w:val="23"/>
        </w:rPr>
        <w:t xml:space="preserve"> the ratio of 1:1.”</w:t>
      </w:r>
    </w:p>
    <w:p w14:paraId="77AEE675" w14:textId="77777777" w:rsidR="00DF7C05" w:rsidRPr="00FC346C" w:rsidRDefault="00DF7C05" w:rsidP="00352DD7">
      <w:pPr>
        <w:pStyle w:val="ListParagraph"/>
        <w:spacing w:after="0" w:line="360" w:lineRule="auto"/>
        <w:ind w:left="426"/>
        <w:jc w:val="both"/>
        <w:rPr>
          <w:rFonts w:ascii="Times New Roman" w:hAnsi="Times New Roman" w:cs="Times New Roman"/>
          <w:sz w:val="23"/>
          <w:szCs w:val="23"/>
        </w:rPr>
      </w:pPr>
    </w:p>
    <w:p w14:paraId="7A06858C" w14:textId="79080DD0" w:rsidR="00DF7C05" w:rsidRPr="00FC346C" w:rsidRDefault="00DF7C05" w:rsidP="00352DD7">
      <w:pPr>
        <w:pStyle w:val="ListParagraph"/>
        <w:numPr>
          <w:ilvl w:val="0"/>
          <w:numId w:val="1"/>
        </w:numPr>
        <w:spacing w:after="0" w:line="360" w:lineRule="auto"/>
        <w:ind w:left="426" w:hanging="426"/>
        <w:jc w:val="both"/>
        <w:rPr>
          <w:rFonts w:ascii="Times New Roman" w:hAnsi="Times New Roman" w:cs="Times New Roman"/>
          <w:sz w:val="23"/>
          <w:szCs w:val="23"/>
        </w:rPr>
      </w:pPr>
      <w:r w:rsidRPr="00FC346C">
        <w:rPr>
          <w:rFonts w:ascii="Times New Roman" w:hAnsi="Times New Roman" w:cs="Times New Roman"/>
          <w:sz w:val="23"/>
          <w:szCs w:val="23"/>
        </w:rPr>
        <w:t xml:space="preserve">From the above-mentioned provision, </w:t>
      </w:r>
      <w:proofErr w:type="gramStart"/>
      <w:r w:rsidRPr="00FC346C">
        <w:rPr>
          <w:rFonts w:ascii="Times New Roman" w:hAnsi="Times New Roman" w:cs="Times New Roman"/>
          <w:sz w:val="23"/>
          <w:szCs w:val="23"/>
        </w:rPr>
        <w:t>it is clear that the</w:t>
      </w:r>
      <w:proofErr w:type="gramEnd"/>
      <w:r w:rsidRPr="00FC346C">
        <w:rPr>
          <w:rFonts w:ascii="Times New Roman" w:hAnsi="Times New Roman" w:cs="Times New Roman"/>
          <w:sz w:val="23"/>
          <w:szCs w:val="23"/>
        </w:rPr>
        <w:t xml:space="preserve"> non-tariff income is limited to the above few components – and only such non-tariff income is to be shared with the beneficiaries in the specified ratio. However, non-tariff income against other</w:t>
      </w:r>
      <w:r w:rsidR="00815BE8" w:rsidRPr="00FC346C">
        <w:rPr>
          <w:rFonts w:ascii="Times New Roman" w:hAnsi="Times New Roman" w:cs="Times New Roman"/>
          <w:sz w:val="23"/>
          <w:szCs w:val="23"/>
        </w:rPr>
        <w:t xml:space="preserve"> sizable</w:t>
      </w:r>
      <w:r w:rsidRPr="00FC346C">
        <w:rPr>
          <w:rFonts w:ascii="Times New Roman" w:hAnsi="Times New Roman" w:cs="Times New Roman"/>
          <w:sz w:val="23"/>
          <w:szCs w:val="23"/>
        </w:rPr>
        <w:t xml:space="preserve"> components have not been included in the </w:t>
      </w:r>
      <w:r w:rsidR="00815BE8" w:rsidRPr="00FC346C">
        <w:rPr>
          <w:rFonts w:ascii="Times New Roman" w:hAnsi="Times New Roman" w:cs="Times New Roman"/>
          <w:sz w:val="23"/>
          <w:szCs w:val="23"/>
        </w:rPr>
        <w:t>proposed</w:t>
      </w:r>
      <w:r w:rsidRPr="00FC346C">
        <w:rPr>
          <w:rFonts w:ascii="Times New Roman" w:hAnsi="Times New Roman" w:cs="Times New Roman"/>
          <w:sz w:val="23"/>
          <w:szCs w:val="23"/>
        </w:rPr>
        <w:t xml:space="preserve"> provisio</w:t>
      </w:r>
      <w:r w:rsidR="00815BE8" w:rsidRPr="00FC346C">
        <w:rPr>
          <w:rFonts w:ascii="Times New Roman" w:hAnsi="Times New Roman" w:cs="Times New Roman"/>
          <w:sz w:val="23"/>
          <w:szCs w:val="23"/>
        </w:rPr>
        <w:t xml:space="preserve">n </w:t>
      </w:r>
      <w:r w:rsidRPr="00FC346C">
        <w:rPr>
          <w:rFonts w:ascii="Times New Roman" w:hAnsi="Times New Roman" w:cs="Times New Roman"/>
          <w:sz w:val="23"/>
          <w:szCs w:val="23"/>
        </w:rPr>
        <w:t xml:space="preserve">of the </w:t>
      </w:r>
      <w:r w:rsidR="00815BE8" w:rsidRPr="00FC346C">
        <w:rPr>
          <w:rFonts w:ascii="Times New Roman" w:hAnsi="Times New Roman" w:cs="Times New Roman"/>
          <w:sz w:val="23"/>
          <w:szCs w:val="23"/>
        </w:rPr>
        <w:t>Draft</w:t>
      </w:r>
      <w:r w:rsidRPr="00FC346C">
        <w:rPr>
          <w:rFonts w:ascii="Times New Roman" w:hAnsi="Times New Roman" w:cs="Times New Roman"/>
          <w:sz w:val="23"/>
          <w:szCs w:val="23"/>
        </w:rPr>
        <w:t xml:space="preserve"> Regulations. </w:t>
      </w:r>
      <w:r w:rsidR="00815BE8" w:rsidRPr="00FC346C">
        <w:rPr>
          <w:rFonts w:ascii="Times New Roman" w:hAnsi="Times New Roman" w:cs="Times New Roman"/>
          <w:sz w:val="23"/>
          <w:szCs w:val="23"/>
        </w:rPr>
        <w:t>Notably,</w:t>
      </w:r>
      <w:r w:rsidRPr="00FC346C">
        <w:rPr>
          <w:rFonts w:ascii="Times New Roman" w:hAnsi="Times New Roman" w:cs="Times New Roman"/>
          <w:sz w:val="23"/>
          <w:szCs w:val="23"/>
        </w:rPr>
        <w:t xml:space="preserve"> a significant quantum of non-tariff income from the components </w:t>
      </w:r>
      <w:r w:rsidR="00403CFF" w:rsidRPr="00FC346C">
        <w:rPr>
          <w:rFonts w:ascii="Times New Roman" w:hAnsi="Times New Roman" w:cs="Times New Roman"/>
          <w:sz w:val="23"/>
          <w:szCs w:val="23"/>
        </w:rPr>
        <w:t>comes from sources not</w:t>
      </w:r>
      <w:r w:rsidR="00815BE8" w:rsidRPr="00FC346C">
        <w:rPr>
          <w:rFonts w:ascii="Times New Roman" w:hAnsi="Times New Roman" w:cs="Times New Roman"/>
          <w:sz w:val="23"/>
          <w:szCs w:val="23"/>
        </w:rPr>
        <w:t xml:space="preserve"> mentioned in the proposed provision under the Draft Regulations</w:t>
      </w:r>
      <w:r w:rsidRPr="00FC346C">
        <w:rPr>
          <w:rFonts w:ascii="Times New Roman" w:hAnsi="Times New Roman" w:cs="Times New Roman"/>
          <w:sz w:val="23"/>
          <w:szCs w:val="23"/>
        </w:rPr>
        <w:t>. On analysis of PGCIL</w:t>
      </w:r>
      <w:r w:rsidR="00403CFF" w:rsidRPr="00FC346C">
        <w:rPr>
          <w:rFonts w:ascii="Times New Roman" w:hAnsi="Times New Roman" w:cs="Times New Roman"/>
          <w:sz w:val="23"/>
          <w:szCs w:val="23"/>
        </w:rPr>
        <w:t>’s</w:t>
      </w:r>
      <w:r w:rsidRPr="00FC346C">
        <w:rPr>
          <w:rFonts w:ascii="Times New Roman" w:hAnsi="Times New Roman" w:cs="Times New Roman"/>
          <w:sz w:val="23"/>
          <w:szCs w:val="23"/>
        </w:rPr>
        <w:t xml:space="preserve"> financial statements, it is found that a significant quantum of non-tariff income has been earned in each year which is provided in the table below: </w:t>
      </w:r>
    </w:p>
    <w:p w14:paraId="32F936BE" w14:textId="77777777" w:rsidR="00403CFF" w:rsidRPr="00FC346C" w:rsidRDefault="00403CFF" w:rsidP="00352DD7">
      <w:pPr>
        <w:pStyle w:val="ListParagraph"/>
        <w:spacing w:after="0" w:line="360" w:lineRule="auto"/>
        <w:ind w:left="426"/>
        <w:jc w:val="both"/>
        <w:rPr>
          <w:rFonts w:ascii="Times New Roman" w:hAnsi="Times New Roman" w:cs="Times New Roman"/>
          <w:sz w:val="23"/>
          <w:szCs w:val="23"/>
        </w:rPr>
      </w:pPr>
    </w:p>
    <w:tbl>
      <w:tblPr>
        <w:tblW w:w="5000" w:type="pct"/>
        <w:jc w:val="center"/>
        <w:tblLook w:val="04A0" w:firstRow="1" w:lastRow="0" w:firstColumn="1" w:lastColumn="0" w:noHBand="0" w:noVBand="1"/>
      </w:tblPr>
      <w:tblGrid>
        <w:gridCol w:w="3166"/>
        <w:gridCol w:w="1170"/>
        <w:gridCol w:w="1170"/>
        <w:gridCol w:w="1170"/>
        <w:gridCol w:w="1170"/>
        <w:gridCol w:w="1170"/>
      </w:tblGrid>
      <w:tr w:rsidR="00DF7C05" w:rsidRPr="00FC346C" w14:paraId="5F3283B8" w14:textId="77777777" w:rsidTr="00C01E39">
        <w:trPr>
          <w:trHeight w:val="288"/>
          <w:tblHeader/>
          <w:jc w:val="center"/>
        </w:trPr>
        <w:tc>
          <w:tcPr>
            <w:tcW w:w="176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73E3429" w14:textId="23D95F26" w:rsidR="00DF7C05" w:rsidRPr="00FC346C" w:rsidRDefault="00DF7C05" w:rsidP="00352DD7">
            <w:pPr>
              <w:spacing w:after="0" w:line="240" w:lineRule="auto"/>
              <w:jc w:val="center"/>
              <w:rPr>
                <w:rFonts w:ascii="Times New Roman" w:eastAsia="Times New Roman" w:hAnsi="Times New Roman" w:cs="Times New Roman"/>
                <w:b/>
                <w:bCs/>
                <w:sz w:val="23"/>
                <w:szCs w:val="23"/>
                <w:lang w:eastAsia="en-IN"/>
              </w:rPr>
            </w:pPr>
            <w:r w:rsidRPr="00FC346C">
              <w:rPr>
                <w:rFonts w:ascii="Times New Roman" w:eastAsia="Times New Roman" w:hAnsi="Times New Roman" w:cs="Times New Roman"/>
                <w:b/>
                <w:bCs/>
                <w:sz w:val="23"/>
                <w:szCs w:val="23"/>
                <w:lang w:eastAsia="en-IN"/>
              </w:rPr>
              <w:t>Particulars</w:t>
            </w:r>
          </w:p>
        </w:tc>
        <w:tc>
          <w:tcPr>
            <w:tcW w:w="648" w:type="pct"/>
            <w:tcBorders>
              <w:top w:val="single" w:sz="4" w:space="0" w:color="auto"/>
              <w:left w:val="nil"/>
              <w:bottom w:val="single" w:sz="4" w:space="0" w:color="auto"/>
              <w:right w:val="single" w:sz="4" w:space="0" w:color="auto"/>
            </w:tcBorders>
            <w:shd w:val="clear" w:color="auto" w:fill="E7E6E6" w:themeFill="background2"/>
            <w:noWrap/>
            <w:vAlign w:val="center"/>
            <w:hideMark/>
          </w:tcPr>
          <w:p w14:paraId="5863F3D1" w14:textId="77777777" w:rsidR="00DF7C05" w:rsidRPr="00FC346C" w:rsidRDefault="00DF7C05" w:rsidP="00352DD7">
            <w:pPr>
              <w:spacing w:after="0" w:line="240" w:lineRule="auto"/>
              <w:jc w:val="center"/>
              <w:rPr>
                <w:rFonts w:ascii="Times New Roman" w:eastAsia="Times New Roman" w:hAnsi="Times New Roman" w:cs="Times New Roman"/>
                <w:b/>
                <w:bCs/>
                <w:sz w:val="23"/>
                <w:szCs w:val="23"/>
                <w:lang w:eastAsia="en-IN"/>
              </w:rPr>
            </w:pPr>
            <w:r w:rsidRPr="00FC346C">
              <w:rPr>
                <w:rFonts w:ascii="Times New Roman" w:eastAsia="Times New Roman" w:hAnsi="Times New Roman" w:cs="Times New Roman"/>
                <w:b/>
                <w:bCs/>
                <w:sz w:val="23"/>
                <w:szCs w:val="23"/>
                <w:lang w:eastAsia="en-IN"/>
              </w:rPr>
              <w:t>FY 2018-19</w:t>
            </w:r>
          </w:p>
        </w:tc>
        <w:tc>
          <w:tcPr>
            <w:tcW w:w="648" w:type="pct"/>
            <w:tcBorders>
              <w:top w:val="single" w:sz="4" w:space="0" w:color="auto"/>
              <w:left w:val="nil"/>
              <w:bottom w:val="single" w:sz="4" w:space="0" w:color="auto"/>
              <w:right w:val="single" w:sz="4" w:space="0" w:color="auto"/>
            </w:tcBorders>
            <w:shd w:val="clear" w:color="auto" w:fill="E7E6E6" w:themeFill="background2"/>
            <w:noWrap/>
            <w:vAlign w:val="center"/>
            <w:hideMark/>
          </w:tcPr>
          <w:p w14:paraId="0D8D7A7C" w14:textId="77777777" w:rsidR="00DF7C05" w:rsidRPr="00FC346C" w:rsidRDefault="00DF7C05" w:rsidP="00352DD7">
            <w:pPr>
              <w:spacing w:after="0" w:line="240" w:lineRule="auto"/>
              <w:jc w:val="center"/>
              <w:rPr>
                <w:rFonts w:ascii="Times New Roman" w:eastAsia="Times New Roman" w:hAnsi="Times New Roman" w:cs="Times New Roman"/>
                <w:b/>
                <w:bCs/>
                <w:sz w:val="23"/>
                <w:szCs w:val="23"/>
                <w:lang w:eastAsia="en-IN"/>
              </w:rPr>
            </w:pPr>
            <w:r w:rsidRPr="00FC346C">
              <w:rPr>
                <w:rFonts w:ascii="Times New Roman" w:eastAsia="Times New Roman" w:hAnsi="Times New Roman" w:cs="Times New Roman"/>
                <w:b/>
                <w:bCs/>
                <w:sz w:val="23"/>
                <w:szCs w:val="23"/>
                <w:lang w:eastAsia="en-IN"/>
              </w:rPr>
              <w:t>FY 2019-20</w:t>
            </w:r>
          </w:p>
        </w:tc>
        <w:tc>
          <w:tcPr>
            <w:tcW w:w="648" w:type="pct"/>
            <w:tcBorders>
              <w:top w:val="single" w:sz="4" w:space="0" w:color="auto"/>
              <w:left w:val="nil"/>
              <w:bottom w:val="single" w:sz="4" w:space="0" w:color="auto"/>
              <w:right w:val="single" w:sz="4" w:space="0" w:color="auto"/>
            </w:tcBorders>
            <w:shd w:val="clear" w:color="auto" w:fill="E7E6E6" w:themeFill="background2"/>
            <w:noWrap/>
            <w:vAlign w:val="center"/>
            <w:hideMark/>
          </w:tcPr>
          <w:p w14:paraId="07A0AD8F" w14:textId="77777777" w:rsidR="00DF7C05" w:rsidRPr="00FC346C" w:rsidRDefault="00DF7C05" w:rsidP="00352DD7">
            <w:pPr>
              <w:spacing w:after="0" w:line="240" w:lineRule="auto"/>
              <w:jc w:val="center"/>
              <w:rPr>
                <w:rFonts w:ascii="Times New Roman" w:eastAsia="Times New Roman" w:hAnsi="Times New Roman" w:cs="Times New Roman"/>
                <w:b/>
                <w:bCs/>
                <w:sz w:val="23"/>
                <w:szCs w:val="23"/>
                <w:lang w:eastAsia="en-IN"/>
              </w:rPr>
            </w:pPr>
            <w:r w:rsidRPr="00FC346C">
              <w:rPr>
                <w:rFonts w:ascii="Times New Roman" w:eastAsia="Times New Roman" w:hAnsi="Times New Roman" w:cs="Times New Roman"/>
                <w:b/>
                <w:bCs/>
                <w:sz w:val="23"/>
                <w:szCs w:val="23"/>
                <w:lang w:eastAsia="en-IN"/>
              </w:rPr>
              <w:t>FY 2020-21</w:t>
            </w:r>
          </w:p>
        </w:tc>
        <w:tc>
          <w:tcPr>
            <w:tcW w:w="648" w:type="pct"/>
            <w:tcBorders>
              <w:top w:val="single" w:sz="4" w:space="0" w:color="auto"/>
              <w:left w:val="nil"/>
              <w:bottom w:val="single" w:sz="4" w:space="0" w:color="auto"/>
              <w:right w:val="single" w:sz="4" w:space="0" w:color="auto"/>
            </w:tcBorders>
            <w:shd w:val="clear" w:color="auto" w:fill="E7E6E6" w:themeFill="background2"/>
            <w:noWrap/>
            <w:vAlign w:val="center"/>
            <w:hideMark/>
          </w:tcPr>
          <w:p w14:paraId="3A2EF781" w14:textId="77777777" w:rsidR="00DF7C05" w:rsidRPr="00FC346C" w:rsidRDefault="00DF7C05" w:rsidP="00352DD7">
            <w:pPr>
              <w:spacing w:after="0" w:line="240" w:lineRule="auto"/>
              <w:jc w:val="center"/>
              <w:rPr>
                <w:rFonts w:ascii="Times New Roman" w:eastAsia="Times New Roman" w:hAnsi="Times New Roman" w:cs="Times New Roman"/>
                <w:b/>
                <w:bCs/>
                <w:sz w:val="23"/>
                <w:szCs w:val="23"/>
                <w:lang w:eastAsia="en-IN"/>
              </w:rPr>
            </w:pPr>
            <w:r w:rsidRPr="00FC346C">
              <w:rPr>
                <w:rFonts w:ascii="Times New Roman" w:eastAsia="Times New Roman" w:hAnsi="Times New Roman" w:cs="Times New Roman"/>
                <w:b/>
                <w:bCs/>
                <w:sz w:val="23"/>
                <w:szCs w:val="23"/>
                <w:lang w:eastAsia="en-IN"/>
              </w:rPr>
              <w:t>FY 2021-22</w:t>
            </w:r>
          </w:p>
        </w:tc>
        <w:tc>
          <w:tcPr>
            <w:tcW w:w="648" w:type="pct"/>
            <w:tcBorders>
              <w:top w:val="single" w:sz="4" w:space="0" w:color="auto"/>
              <w:left w:val="nil"/>
              <w:bottom w:val="single" w:sz="4" w:space="0" w:color="auto"/>
              <w:right w:val="single" w:sz="4" w:space="0" w:color="auto"/>
            </w:tcBorders>
            <w:shd w:val="clear" w:color="auto" w:fill="E7E6E6" w:themeFill="background2"/>
            <w:noWrap/>
            <w:vAlign w:val="center"/>
            <w:hideMark/>
          </w:tcPr>
          <w:p w14:paraId="36D9DE50" w14:textId="77777777" w:rsidR="00DF7C05" w:rsidRPr="00FC346C" w:rsidRDefault="00DF7C05" w:rsidP="00352DD7">
            <w:pPr>
              <w:spacing w:after="0" w:line="240" w:lineRule="auto"/>
              <w:jc w:val="center"/>
              <w:rPr>
                <w:rFonts w:ascii="Times New Roman" w:eastAsia="Times New Roman" w:hAnsi="Times New Roman" w:cs="Times New Roman"/>
                <w:b/>
                <w:bCs/>
                <w:sz w:val="23"/>
                <w:szCs w:val="23"/>
                <w:lang w:eastAsia="en-IN"/>
              </w:rPr>
            </w:pPr>
            <w:r w:rsidRPr="00FC346C">
              <w:rPr>
                <w:rFonts w:ascii="Times New Roman" w:eastAsia="Times New Roman" w:hAnsi="Times New Roman" w:cs="Times New Roman"/>
                <w:b/>
                <w:bCs/>
                <w:sz w:val="23"/>
                <w:szCs w:val="23"/>
                <w:lang w:eastAsia="en-IN"/>
              </w:rPr>
              <w:t>FY 2022-23</w:t>
            </w:r>
          </w:p>
        </w:tc>
      </w:tr>
      <w:tr w:rsidR="00DF7C05" w:rsidRPr="00FC346C" w14:paraId="5EB22D5B" w14:textId="77777777" w:rsidTr="00EB2C93">
        <w:trPr>
          <w:trHeight w:val="288"/>
          <w:jc w:val="center"/>
        </w:trPr>
        <w:tc>
          <w:tcPr>
            <w:tcW w:w="1761" w:type="pct"/>
            <w:tcBorders>
              <w:top w:val="nil"/>
              <w:left w:val="single" w:sz="4" w:space="0" w:color="auto"/>
              <w:bottom w:val="single" w:sz="4" w:space="0" w:color="auto"/>
              <w:right w:val="single" w:sz="4" w:space="0" w:color="auto"/>
            </w:tcBorders>
            <w:shd w:val="clear" w:color="auto" w:fill="auto"/>
            <w:noWrap/>
            <w:vAlign w:val="bottom"/>
            <w:hideMark/>
          </w:tcPr>
          <w:p w14:paraId="2FF40FD3" w14:textId="77777777" w:rsidR="00DF7C05" w:rsidRPr="00FC346C" w:rsidRDefault="00DF7C05" w:rsidP="00352DD7">
            <w:pPr>
              <w:spacing w:after="0" w:line="240" w:lineRule="auto"/>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Income from Transmission</w:t>
            </w:r>
          </w:p>
        </w:tc>
        <w:tc>
          <w:tcPr>
            <w:tcW w:w="648" w:type="pct"/>
            <w:tcBorders>
              <w:top w:val="nil"/>
              <w:left w:val="nil"/>
              <w:bottom w:val="single" w:sz="4" w:space="0" w:color="auto"/>
              <w:right w:val="single" w:sz="4" w:space="0" w:color="auto"/>
            </w:tcBorders>
            <w:shd w:val="clear" w:color="auto" w:fill="auto"/>
            <w:noWrap/>
            <w:vAlign w:val="bottom"/>
            <w:hideMark/>
          </w:tcPr>
          <w:p w14:paraId="410FCD4C" w14:textId="77777777" w:rsidR="00DF7C05" w:rsidRPr="00FC346C" w:rsidRDefault="00DF7C05" w:rsidP="00352DD7">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33317.17</w:t>
            </w:r>
          </w:p>
        </w:tc>
        <w:tc>
          <w:tcPr>
            <w:tcW w:w="648" w:type="pct"/>
            <w:tcBorders>
              <w:top w:val="nil"/>
              <w:left w:val="nil"/>
              <w:bottom w:val="single" w:sz="4" w:space="0" w:color="auto"/>
              <w:right w:val="single" w:sz="4" w:space="0" w:color="auto"/>
            </w:tcBorders>
            <w:shd w:val="clear" w:color="auto" w:fill="auto"/>
            <w:noWrap/>
            <w:vAlign w:val="bottom"/>
            <w:hideMark/>
          </w:tcPr>
          <w:p w14:paraId="1643A691" w14:textId="77777777" w:rsidR="00DF7C05" w:rsidRPr="00FC346C" w:rsidRDefault="00DF7C05" w:rsidP="00352DD7">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35562.96</w:t>
            </w:r>
          </w:p>
        </w:tc>
        <w:tc>
          <w:tcPr>
            <w:tcW w:w="648" w:type="pct"/>
            <w:tcBorders>
              <w:top w:val="nil"/>
              <w:left w:val="nil"/>
              <w:bottom w:val="single" w:sz="4" w:space="0" w:color="auto"/>
              <w:right w:val="single" w:sz="4" w:space="0" w:color="auto"/>
            </w:tcBorders>
            <w:shd w:val="clear" w:color="auto" w:fill="auto"/>
            <w:noWrap/>
            <w:vAlign w:val="bottom"/>
            <w:hideMark/>
          </w:tcPr>
          <w:p w14:paraId="3C59C6DE" w14:textId="77777777" w:rsidR="00DF7C05" w:rsidRPr="00FC346C" w:rsidRDefault="00DF7C05" w:rsidP="00352DD7">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37418.5</w:t>
            </w:r>
          </w:p>
        </w:tc>
        <w:tc>
          <w:tcPr>
            <w:tcW w:w="648" w:type="pct"/>
            <w:tcBorders>
              <w:top w:val="nil"/>
              <w:left w:val="nil"/>
              <w:bottom w:val="single" w:sz="4" w:space="0" w:color="auto"/>
              <w:right w:val="single" w:sz="4" w:space="0" w:color="auto"/>
            </w:tcBorders>
            <w:shd w:val="clear" w:color="auto" w:fill="auto"/>
            <w:noWrap/>
            <w:vAlign w:val="bottom"/>
            <w:hideMark/>
          </w:tcPr>
          <w:p w14:paraId="5B2F0358" w14:textId="77777777" w:rsidR="00DF7C05" w:rsidRPr="00FC346C" w:rsidRDefault="00DF7C05" w:rsidP="00352DD7">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39187.62</w:t>
            </w:r>
          </w:p>
        </w:tc>
        <w:tc>
          <w:tcPr>
            <w:tcW w:w="648" w:type="pct"/>
            <w:tcBorders>
              <w:top w:val="nil"/>
              <w:left w:val="nil"/>
              <w:bottom w:val="single" w:sz="4" w:space="0" w:color="auto"/>
              <w:right w:val="single" w:sz="4" w:space="0" w:color="auto"/>
            </w:tcBorders>
            <w:shd w:val="clear" w:color="auto" w:fill="auto"/>
            <w:noWrap/>
            <w:vAlign w:val="bottom"/>
            <w:hideMark/>
          </w:tcPr>
          <w:p w14:paraId="35A038DC" w14:textId="77777777" w:rsidR="00DF7C05" w:rsidRPr="00FC346C" w:rsidRDefault="00DF7C05" w:rsidP="00352DD7">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42647.15</w:t>
            </w:r>
          </w:p>
        </w:tc>
      </w:tr>
      <w:tr w:rsidR="00DF7C05" w:rsidRPr="00FC346C" w14:paraId="4F820B14" w14:textId="77777777" w:rsidTr="00EB2C93">
        <w:trPr>
          <w:trHeight w:val="288"/>
          <w:jc w:val="center"/>
        </w:trPr>
        <w:tc>
          <w:tcPr>
            <w:tcW w:w="1761" w:type="pct"/>
            <w:tcBorders>
              <w:top w:val="nil"/>
              <w:left w:val="single" w:sz="4" w:space="0" w:color="auto"/>
              <w:bottom w:val="single" w:sz="4" w:space="0" w:color="auto"/>
              <w:right w:val="single" w:sz="4" w:space="0" w:color="auto"/>
            </w:tcBorders>
            <w:shd w:val="clear" w:color="auto" w:fill="auto"/>
            <w:noWrap/>
            <w:vAlign w:val="bottom"/>
            <w:hideMark/>
          </w:tcPr>
          <w:p w14:paraId="7482E94D" w14:textId="77777777" w:rsidR="00DF7C05" w:rsidRPr="00FC346C" w:rsidRDefault="00DF7C05" w:rsidP="00352DD7">
            <w:pPr>
              <w:spacing w:after="0" w:line="240" w:lineRule="auto"/>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Income from Consultancy</w:t>
            </w:r>
          </w:p>
        </w:tc>
        <w:tc>
          <w:tcPr>
            <w:tcW w:w="648" w:type="pct"/>
            <w:tcBorders>
              <w:top w:val="nil"/>
              <w:left w:val="nil"/>
              <w:bottom w:val="single" w:sz="4" w:space="0" w:color="auto"/>
              <w:right w:val="single" w:sz="4" w:space="0" w:color="auto"/>
            </w:tcBorders>
            <w:shd w:val="clear" w:color="auto" w:fill="auto"/>
            <w:noWrap/>
            <w:vAlign w:val="bottom"/>
            <w:hideMark/>
          </w:tcPr>
          <w:p w14:paraId="5D3D28BB" w14:textId="77777777" w:rsidR="00DF7C05" w:rsidRPr="00FC346C" w:rsidRDefault="00DF7C05" w:rsidP="00352DD7">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615.74</w:t>
            </w:r>
          </w:p>
        </w:tc>
        <w:tc>
          <w:tcPr>
            <w:tcW w:w="648" w:type="pct"/>
            <w:tcBorders>
              <w:top w:val="nil"/>
              <w:left w:val="nil"/>
              <w:bottom w:val="single" w:sz="4" w:space="0" w:color="auto"/>
              <w:right w:val="single" w:sz="4" w:space="0" w:color="auto"/>
            </w:tcBorders>
            <w:shd w:val="clear" w:color="auto" w:fill="auto"/>
            <w:noWrap/>
            <w:vAlign w:val="bottom"/>
            <w:hideMark/>
          </w:tcPr>
          <w:p w14:paraId="0E506E38" w14:textId="77777777" w:rsidR="00DF7C05" w:rsidRPr="00FC346C" w:rsidRDefault="00DF7C05" w:rsidP="00352DD7">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618.02</w:t>
            </w:r>
          </w:p>
        </w:tc>
        <w:tc>
          <w:tcPr>
            <w:tcW w:w="648" w:type="pct"/>
            <w:tcBorders>
              <w:top w:val="nil"/>
              <w:left w:val="nil"/>
              <w:bottom w:val="single" w:sz="4" w:space="0" w:color="auto"/>
              <w:right w:val="single" w:sz="4" w:space="0" w:color="auto"/>
            </w:tcBorders>
            <w:shd w:val="clear" w:color="auto" w:fill="auto"/>
            <w:noWrap/>
            <w:vAlign w:val="bottom"/>
            <w:hideMark/>
          </w:tcPr>
          <w:p w14:paraId="3EA11D7B" w14:textId="77777777" w:rsidR="00DF7C05" w:rsidRPr="00FC346C" w:rsidRDefault="00DF7C05" w:rsidP="00352DD7">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506.16</w:t>
            </w:r>
          </w:p>
        </w:tc>
        <w:tc>
          <w:tcPr>
            <w:tcW w:w="648" w:type="pct"/>
            <w:tcBorders>
              <w:top w:val="nil"/>
              <w:left w:val="nil"/>
              <w:bottom w:val="single" w:sz="4" w:space="0" w:color="auto"/>
              <w:right w:val="single" w:sz="4" w:space="0" w:color="auto"/>
            </w:tcBorders>
            <w:shd w:val="clear" w:color="auto" w:fill="auto"/>
            <w:noWrap/>
            <w:vAlign w:val="bottom"/>
            <w:hideMark/>
          </w:tcPr>
          <w:p w14:paraId="45F4C7EF" w14:textId="77777777" w:rsidR="00DF7C05" w:rsidRPr="00FC346C" w:rsidRDefault="00DF7C05" w:rsidP="00352DD7">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771.21</w:t>
            </w:r>
          </w:p>
        </w:tc>
        <w:tc>
          <w:tcPr>
            <w:tcW w:w="648" w:type="pct"/>
            <w:tcBorders>
              <w:top w:val="nil"/>
              <w:left w:val="nil"/>
              <w:bottom w:val="single" w:sz="4" w:space="0" w:color="auto"/>
              <w:right w:val="single" w:sz="4" w:space="0" w:color="auto"/>
            </w:tcBorders>
            <w:shd w:val="clear" w:color="auto" w:fill="auto"/>
            <w:noWrap/>
            <w:vAlign w:val="bottom"/>
            <w:hideMark/>
          </w:tcPr>
          <w:p w14:paraId="5AA6E3E7" w14:textId="77777777" w:rsidR="00DF7C05" w:rsidRPr="00FC346C" w:rsidRDefault="00DF7C05" w:rsidP="00352DD7">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528.7</w:t>
            </w:r>
          </w:p>
        </w:tc>
      </w:tr>
      <w:tr w:rsidR="00DF7C05" w:rsidRPr="00FC346C" w14:paraId="4704ADA9" w14:textId="77777777" w:rsidTr="00EB2C93">
        <w:trPr>
          <w:trHeight w:val="288"/>
          <w:jc w:val="center"/>
        </w:trPr>
        <w:tc>
          <w:tcPr>
            <w:tcW w:w="1761" w:type="pct"/>
            <w:tcBorders>
              <w:top w:val="nil"/>
              <w:left w:val="single" w:sz="4" w:space="0" w:color="auto"/>
              <w:bottom w:val="single" w:sz="4" w:space="0" w:color="auto"/>
              <w:right w:val="single" w:sz="4" w:space="0" w:color="auto"/>
            </w:tcBorders>
            <w:shd w:val="clear" w:color="auto" w:fill="auto"/>
            <w:noWrap/>
            <w:vAlign w:val="bottom"/>
            <w:hideMark/>
          </w:tcPr>
          <w:p w14:paraId="4AEFE943" w14:textId="77777777" w:rsidR="00DF7C05" w:rsidRPr="00FC346C" w:rsidRDefault="00DF7C05" w:rsidP="00352DD7">
            <w:pPr>
              <w:spacing w:after="0" w:line="240" w:lineRule="auto"/>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Income from Telecom</w:t>
            </w:r>
          </w:p>
        </w:tc>
        <w:tc>
          <w:tcPr>
            <w:tcW w:w="648" w:type="pct"/>
            <w:tcBorders>
              <w:top w:val="nil"/>
              <w:left w:val="nil"/>
              <w:bottom w:val="single" w:sz="4" w:space="0" w:color="auto"/>
              <w:right w:val="single" w:sz="4" w:space="0" w:color="auto"/>
            </w:tcBorders>
            <w:shd w:val="clear" w:color="auto" w:fill="auto"/>
            <w:noWrap/>
            <w:vAlign w:val="bottom"/>
            <w:hideMark/>
          </w:tcPr>
          <w:p w14:paraId="70D497DD" w14:textId="77777777" w:rsidR="00DF7C05" w:rsidRPr="00FC346C" w:rsidRDefault="00DF7C05" w:rsidP="00352DD7">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742.08</w:t>
            </w:r>
          </w:p>
        </w:tc>
        <w:tc>
          <w:tcPr>
            <w:tcW w:w="648" w:type="pct"/>
            <w:tcBorders>
              <w:top w:val="nil"/>
              <w:left w:val="nil"/>
              <w:bottom w:val="single" w:sz="4" w:space="0" w:color="auto"/>
              <w:right w:val="single" w:sz="4" w:space="0" w:color="auto"/>
            </w:tcBorders>
            <w:shd w:val="clear" w:color="auto" w:fill="auto"/>
            <w:noWrap/>
            <w:vAlign w:val="bottom"/>
            <w:hideMark/>
          </w:tcPr>
          <w:p w14:paraId="26D2E209" w14:textId="77777777" w:rsidR="00DF7C05" w:rsidRPr="00FC346C" w:rsidRDefault="00DF7C05" w:rsidP="00352DD7">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782.23</w:t>
            </w:r>
          </w:p>
        </w:tc>
        <w:tc>
          <w:tcPr>
            <w:tcW w:w="648" w:type="pct"/>
            <w:tcBorders>
              <w:top w:val="nil"/>
              <w:left w:val="nil"/>
              <w:bottom w:val="single" w:sz="4" w:space="0" w:color="auto"/>
              <w:right w:val="single" w:sz="4" w:space="0" w:color="auto"/>
            </w:tcBorders>
            <w:shd w:val="clear" w:color="auto" w:fill="auto"/>
            <w:noWrap/>
            <w:vAlign w:val="bottom"/>
            <w:hideMark/>
          </w:tcPr>
          <w:p w14:paraId="03364AB7" w14:textId="77777777" w:rsidR="00DF7C05" w:rsidRPr="00FC346C" w:rsidRDefault="00DF7C05" w:rsidP="00352DD7">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783.19</w:t>
            </w:r>
          </w:p>
        </w:tc>
        <w:tc>
          <w:tcPr>
            <w:tcW w:w="648" w:type="pct"/>
            <w:tcBorders>
              <w:top w:val="nil"/>
              <w:left w:val="nil"/>
              <w:bottom w:val="single" w:sz="4" w:space="0" w:color="auto"/>
              <w:right w:val="single" w:sz="4" w:space="0" w:color="auto"/>
            </w:tcBorders>
            <w:shd w:val="clear" w:color="auto" w:fill="auto"/>
            <w:noWrap/>
            <w:vAlign w:val="bottom"/>
            <w:hideMark/>
          </w:tcPr>
          <w:p w14:paraId="54DD00FB" w14:textId="77777777" w:rsidR="00DF7C05" w:rsidRPr="00FC346C" w:rsidRDefault="00DF7C05" w:rsidP="00352DD7">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668.86</w:t>
            </w:r>
          </w:p>
        </w:tc>
        <w:tc>
          <w:tcPr>
            <w:tcW w:w="648" w:type="pct"/>
            <w:tcBorders>
              <w:top w:val="nil"/>
              <w:left w:val="nil"/>
              <w:bottom w:val="single" w:sz="4" w:space="0" w:color="auto"/>
              <w:right w:val="single" w:sz="4" w:space="0" w:color="auto"/>
            </w:tcBorders>
            <w:shd w:val="clear" w:color="auto" w:fill="auto"/>
            <w:noWrap/>
            <w:vAlign w:val="bottom"/>
            <w:hideMark/>
          </w:tcPr>
          <w:p w14:paraId="3D7B875C" w14:textId="77777777" w:rsidR="00DF7C05" w:rsidRPr="00FC346C" w:rsidRDefault="00DF7C05" w:rsidP="00352DD7">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813.55</w:t>
            </w:r>
          </w:p>
        </w:tc>
      </w:tr>
      <w:tr w:rsidR="00DF7C05" w:rsidRPr="00FC346C" w14:paraId="23217E43" w14:textId="77777777" w:rsidTr="00EB2C93">
        <w:trPr>
          <w:trHeight w:val="288"/>
          <w:jc w:val="center"/>
        </w:trPr>
        <w:tc>
          <w:tcPr>
            <w:tcW w:w="17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7130D" w14:textId="77777777" w:rsidR="00DF7C05" w:rsidRPr="00FC346C" w:rsidRDefault="00DF7C05" w:rsidP="00352DD7">
            <w:pPr>
              <w:spacing w:after="0" w:line="240" w:lineRule="auto"/>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Total</w:t>
            </w:r>
          </w:p>
        </w:tc>
        <w:tc>
          <w:tcPr>
            <w:tcW w:w="648" w:type="pct"/>
            <w:tcBorders>
              <w:top w:val="single" w:sz="4" w:space="0" w:color="auto"/>
              <w:left w:val="nil"/>
              <w:bottom w:val="single" w:sz="4" w:space="0" w:color="auto"/>
              <w:right w:val="single" w:sz="4" w:space="0" w:color="auto"/>
            </w:tcBorders>
            <w:shd w:val="clear" w:color="auto" w:fill="auto"/>
            <w:noWrap/>
            <w:vAlign w:val="bottom"/>
            <w:hideMark/>
          </w:tcPr>
          <w:p w14:paraId="6DF2875A" w14:textId="77777777" w:rsidR="00DF7C05" w:rsidRPr="00FC346C" w:rsidRDefault="00DF7C05" w:rsidP="00352DD7">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34601.61</w:t>
            </w:r>
          </w:p>
        </w:tc>
        <w:tc>
          <w:tcPr>
            <w:tcW w:w="648" w:type="pct"/>
            <w:tcBorders>
              <w:top w:val="single" w:sz="4" w:space="0" w:color="auto"/>
              <w:left w:val="nil"/>
              <w:bottom w:val="single" w:sz="4" w:space="0" w:color="auto"/>
              <w:right w:val="single" w:sz="4" w:space="0" w:color="auto"/>
            </w:tcBorders>
            <w:shd w:val="clear" w:color="auto" w:fill="auto"/>
            <w:noWrap/>
            <w:vAlign w:val="bottom"/>
            <w:hideMark/>
          </w:tcPr>
          <w:p w14:paraId="0C3F794A" w14:textId="77777777" w:rsidR="00DF7C05" w:rsidRPr="00FC346C" w:rsidRDefault="00DF7C05" w:rsidP="00352DD7">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36893.27</w:t>
            </w:r>
          </w:p>
        </w:tc>
        <w:tc>
          <w:tcPr>
            <w:tcW w:w="648" w:type="pct"/>
            <w:tcBorders>
              <w:top w:val="single" w:sz="4" w:space="0" w:color="auto"/>
              <w:left w:val="nil"/>
              <w:bottom w:val="single" w:sz="4" w:space="0" w:color="auto"/>
              <w:right w:val="single" w:sz="4" w:space="0" w:color="auto"/>
            </w:tcBorders>
            <w:shd w:val="clear" w:color="auto" w:fill="auto"/>
            <w:noWrap/>
            <w:vAlign w:val="bottom"/>
            <w:hideMark/>
          </w:tcPr>
          <w:p w14:paraId="7A1CCD71" w14:textId="77777777" w:rsidR="00DF7C05" w:rsidRPr="00FC346C" w:rsidRDefault="00DF7C05" w:rsidP="00352DD7">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38637.89</w:t>
            </w:r>
          </w:p>
        </w:tc>
        <w:tc>
          <w:tcPr>
            <w:tcW w:w="648" w:type="pct"/>
            <w:tcBorders>
              <w:top w:val="single" w:sz="4" w:space="0" w:color="auto"/>
              <w:left w:val="nil"/>
              <w:bottom w:val="single" w:sz="4" w:space="0" w:color="auto"/>
              <w:right w:val="single" w:sz="4" w:space="0" w:color="auto"/>
            </w:tcBorders>
            <w:shd w:val="clear" w:color="auto" w:fill="auto"/>
            <w:noWrap/>
            <w:vAlign w:val="bottom"/>
            <w:hideMark/>
          </w:tcPr>
          <w:p w14:paraId="3E0265C8" w14:textId="77777777" w:rsidR="00DF7C05" w:rsidRPr="00FC346C" w:rsidRDefault="00DF7C05" w:rsidP="00352DD7">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40558.61</w:t>
            </w:r>
          </w:p>
        </w:tc>
        <w:tc>
          <w:tcPr>
            <w:tcW w:w="648" w:type="pct"/>
            <w:tcBorders>
              <w:top w:val="single" w:sz="4" w:space="0" w:color="auto"/>
              <w:left w:val="nil"/>
              <w:bottom w:val="single" w:sz="4" w:space="0" w:color="auto"/>
              <w:right w:val="single" w:sz="4" w:space="0" w:color="auto"/>
            </w:tcBorders>
            <w:shd w:val="clear" w:color="auto" w:fill="auto"/>
            <w:noWrap/>
            <w:vAlign w:val="bottom"/>
            <w:hideMark/>
          </w:tcPr>
          <w:p w14:paraId="7D077BB3" w14:textId="77777777" w:rsidR="00DF7C05" w:rsidRPr="00FC346C" w:rsidRDefault="00DF7C05" w:rsidP="00352DD7">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43914.69</w:t>
            </w:r>
          </w:p>
        </w:tc>
      </w:tr>
      <w:tr w:rsidR="00DF7C05" w:rsidRPr="00FC346C" w14:paraId="0F4AC4A2" w14:textId="77777777" w:rsidTr="00EB2C93">
        <w:trPr>
          <w:trHeight w:val="288"/>
          <w:jc w:val="center"/>
        </w:trPr>
        <w:tc>
          <w:tcPr>
            <w:tcW w:w="176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F58A1C" w14:textId="77777777" w:rsidR="00DF7C05" w:rsidRPr="00FC346C" w:rsidRDefault="00DF7C05" w:rsidP="00352DD7">
            <w:pPr>
              <w:spacing w:after="0" w:line="240" w:lineRule="auto"/>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 xml:space="preserve"> Net Profit</w:t>
            </w:r>
          </w:p>
        </w:tc>
        <w:tc>
          <w:tcPr>
            <w:tcW w:w="648" w:type="pct"/>
            <w:tcBorders>
              <w:top w:val="single" w:sz="4" w:space="0" w:color="auto"/>
              <w:left w:val="nil"/>
              <w:bottom w:val="single" w:sz="4" w:space="0" w:color="auto"/>
              <w:right w:val="single" w:sz="4" w:space="0" w:color="auto"/>
            </w:tcBorders>
            <w:shd w:val="clear" w:color="auto" w:fill="auto"/>
            <w:noWrap/>
            <w:vAlign w:val="bottom"/>
          </w:tcPr>
          <w:p w14:paraId="24C02FBC" w14:textId="77777777" w:rsidR="00DF7C05" w:rsidRPr="00FC346C" w:rsidRDefault="00DF7C05" w:rsidP="00352DD7">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9938.55</w:t>
            </w:r>
          </w:p>
        </w:tc>
        <w:tc>
          <w:tcPr>
            <w:tcW w:w="648" w:type="pct"/>
            <w:tcBorders>
              <w:top w:val="single" w:sz="4" w:space="0" w:color="auto"/>
              <w:left w:val="nil"/>
              <w:bottom w:val="single" w:sz="4" w:space="0" w:color="auto"/>
              <w:right w:val="single" w:sz="4" w:space="0" w:color="auto"/>
            </w:tcBorders>
            <w:shd w:val="clear" w:color="auto" w:fill="auto"/>
            <w:noWrap/>
            <w:vAlign w:val="bottom"/>
          </w:tcPr>
          <w:p w14:paraId="7BF417C9" w14:textId="77777777" w:rsidR="00DF7C05" w:rsidRPr="00FC346C" w:rsidRDefault="00DF7C05" w:rsidP="00352DD7">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10811.18</w:t>
            </w:r>
          </w:p>
        </w:tc>
        <w:tc>
          <w:tcPr>
            <w:tcW w:w="648" w:type="pct"/>
            <w:tcBorders>
              <w:top w:val="single" w:sz="4" w:space="0" w:color="auto"/>
              <w:left w:val="nil"/>
              <w:bottom w:val="single" w:sz="4" w:space="0" w:color="auto"/>
              <w:right w:val="single" w:sz="4" w:space="0" w:color="auto"/>
            </w:tcBorders>
            <w:shd w:val="clear" w:color="auto" w:fill="auto"/>
            <w:noWrap/>
            <w:vAlign w:val="bottom"/>
          </w:tcPr>
          <w:p w14:paraId="5E4167B7" w14:textId="77777777" w:rsidR="00DF7C05" w:rsidRPr="00FC346C" w:rsidRDefault="00DF7C05" w:rsidP="00352DD7">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11935.78</w:t>
            </w:r>
          </w:p>
        </w:tc>
        <w:tc>
          <w:tcPr>
            <w:tcW w:w="648" w:type="pct"/>
            <w:tcBorders>
              <w:top w:val="single" w:sz="4" w:space="0" w:color="auto"/>
              <w:left w:val="nil"/>
              <w:bottom w:val="single" w:sz="4" w:space="0" w:color="auto"/>
              <w:right w:val="single" w:sz="4" w:space="0" w:color="auto"/>
            </w:tcBorders>
            <w:shd w:val="clear" w:color="auto" w:fill="auto"/>
            <w:noWrap/>
            <w:vAlign w:val="bottom"/>
          </w:tcPr>
          <w:p w14:paraId="0E34AE53" w14:textId="77777777" w:rsidR="00DF7C05" w:rsidRPr="00FC346C" w:rsidRDefault="00DF7C05" w:rsidP="00352DD7">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15333.02</w:t>
            </w:r>
          </w:p>
        </w:tc>
        <w:tc>
          <w:tcPr>
            <w:tcW w:w="648" w:type="pct"/>
            <w:tcBorders>
              <w:top w:val="single" w:sz="4" w:space="0" w:color="auto"/>
              <w:left w:val="nil"/>
              <w:bottom w:val="single" w:sz="4" w:space="0" w:color="auto"/>
              <w:right w:val="single" w:sz="4" w:space="0" w:color="auto"/>
            </w:tcBorders>
            <w:shd w:val="clear" w:color="auto" w:fill="auto"/>
            <w:noWrap/>
            <w:vAlign w:val="bottom"/>
          </w:tcPr>
          <w:p w14:paraId="16106DA3" w14:textId="77777777" w:rsidR="00DF7C05" w:rsidRPr="00FC346C" w:rsidRDefault="00DF7C05" w:rsidP="00352DD7">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17093.76</w:t>
            </w:r>
          </w:p>
        </w:tc>
      </w:tr>
      <w:tr w:rsidR="00DF7C05" w:rsidRPr="00FC346C" w14:paraId="2ACFA6B3" w14:textId="77777777" w:rsidTr="00EB2C93">
        <w:trPr>
          <w:trHeight w:val="288"/>
          <w:jc w:val="center"/>
        </w:trPr>
        <w:tc>
          <w:tcPr>
            <w:tcW w:w="176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663A17" w14:textId="77777777" w:rsidR="00DF7C05" w:rsidRPr="00FC346C" w:rsidRDefault="00DF7C05" w:rsidP="00352DD7">
            <w:pPr>
              <w:spacing w:after="0" w:line="240" w:lineRule="auto"/>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 of consultancy income to the profit</w:t>
            </w:r>
          </w:p>
        </w:tc>
        <w:tc>
          <w:tcPr>
            <w:tcW w:w="648" w:type="pct"/>
            <w:tcBorders>
              <w:top w:val="single" w:sz="4" w:space="0" w:color="auto"/>
              <w:left w:val="nil"/>
              <w:bottom w:val="single" w:sz="4" w:space="0" w:color="auto"/>
              <w:right w:val="single" w:sz="4" w:space="0" w:color="auto"/>
            </w:tcBorders>
            <w:shd w:val="clear" w:color="auto" w:fill="auto"/>
            <w:noWrap/>
            <w:vAlign w:val="bottom"/>
          </w:tcPr>
          <w:p w14:paraId="66CF69E2" w14:textId="77777777" w:rsidR="00DF7C05" w:rsidRPr="00FC346C" w:rsidRDefault="00DF7C05" w:rsidP="00352DD7">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6.20%</w:t>
            </w:r>
          </w:p>
        </w:tc>
        <w:tc>
          <w:tcPr>
            <w:tcW w:w="648" w:type="pct"/>
            <w:tcBorders>
              <w:top w:val="single" w:sz="4" w:space="0" w:color="auto"/>
              <w:left w:val="nil"/>
              <w:bottom w:val="single" w:sz="4" w:space="0" w:color="auto"/>
              <w:right w:val="single" w:sz="4" w:space="0" w:color="auto"/>
            </w:tcBorders>
            <w:shd w:val="clear" w:color="auto" w:fill="auto"/>
            <w:noWrap/>
            <w:vAlign w:val="bottom"/>
          </w:tcPr>
          <w:p w14:paraId="3E1DE1A9" w14:textId="77777777" w:rsidR="00DF7C05" w:rsidRPr="00FC346C" w:rsidRDefault="00DF7C05" w:rsidP="00352DD7">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6.22%</w:t>
            </w:r>
          </w:p>
        </w:tc>
        <w:tc>
          <w:tcPr>
            <w:tcW w:w="648" w:type="pct"/>
            <w:tcBorders>
              <w:top w:val="single" w:sz="4" w:space="0" w:color="auto"/>
              <w:left w:val="nil"/>
              <w:bottom w:val="single" w:sz="4" w:space="0" w:color="auto"/>
              <w:right w:val="single" w:sz="4" w:space="0" w:color="auto"/>
            </w:tcBorders>
            <w:shd w:val="clear" w:color="auto" w:fill="auto"/>
            <w:noWrap/>
            <w:vAlign w:val="bottom"/>
          </w:tcPr>
          <w:p w14:paraId="1B66F314" w14:textId="77777777" w:rsidR="00DF7C05" w:rsidRPr="00FC346C" w:rsidRDefault="00DF7C05" w:rsidP="00352DD7">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5.09%</w:t>
            </w:r>
          </w:p>
        </w:tc>
        <w:tc>
          <w:tcPr>
            <w:tcW w:w="648" w:type="pct"/>
            <w:tcBorders>
              <w:top w:val="single" w:sz="4" w:space="0" w:color="auto"/>
              <w:left w:val="nil"/>
              <w:bottom w:val="single" w:sz="4" w:space="0" w:color="auto"/>
              <w:right w:val="single" w:sz="4" w:space="0" w:color="auto"/>
            </w:tcBorders>
            <w:shd w:val="clear" w:color="auto" w:fill="auto"/>
            <w:noWrap/>
            <w:vAlign w:val="bottom"/>
          </w:tcPr>
          <w:p w14:paraId="57880235" w14:textId="77777777" w:rsidR="00DF7C05" w:rsidRPr="00FC346C" w:rsidRDefault="00DF7C05" w:rsidP="00352DD7">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7.76%</w:t>
            </w:r>
          </w:p>
        </w:tc>
        <w:tc>
          <w:tcPr>
            <w:tcW w:w="648" w:type="pct"/>
            <w:tcBorders>
              <w:top w:val="single" w:sz="4" w:space="0" w:color="auto"/>
              <w:left w:val="nil"/>
              <w:bottom w:val="single" w:sz="4" w:space="0" w:color="auto"/>
              <w:right w:val="single" w:sz="4" w:space="0" w:color="auto"/>
            </w:tcBorders>
            <w:shd w:val="clear" w:color="auto" w:fill="auto"/>
            <w:noWrap/>
            <w:vAlign w:val="bottom"/>
          </w:tcPr>
          <w:p w14:paraId="17C99116" w14:textId="77777777" w:rsidR="00DF7C05" w:rsidRPr="00FC346C" w:rsidRDefault="00DF7C05" w:rsidP="00352DD7">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5.32%</w:t>
            </w:r>
          </w:p>
        </w:tc>
      </w:tr>
    </w:tbl>
    <w:p w14:paraId="7B3AF338" w14:textId="77777777" w:rsidR="00DF7C05" w:rsidRPr="00FC346C" w:rsidRDefault="00DF7C05" w:rsidP="00352DD7">
      <w:pPr>
        <w:pStyle w:val="ListParagraph"/>
        <w:spacing w:after="0" w:line="276" w:lineRule="auto"/>
        <w:ind w:left="284"/>
        <w:jc w:val="both"/>
        <w:rPr>
          <w:rFonts w:ascii="Times New Roman" w:hAnsi="Times New Roman" w:cs="Times New Roman"/>
          <w:sz w:val="23"/>
          <w:szCs w:val="23"/>
        </w:rPr>
      </w:pPr>
    </w:p>
    <w:p w14:paraId="1F91B584" w14:textId="78E952AC" w:rsidR="00DF7C05" w:rsidRPr="00FC346C" w:rsidRDefault="000918C0" w:rsidP="00352DD7">
      <w:pPr>
        <w:pStyle w:val="ListParagraph"/>
        <w:numPr>
          <w:ilvl w:val="0"/>
          <w:numId w:val="1"/>
        </w:numPr>
        <w:spacing w:after="0" w:line="360" w:lineRule="auto"/>
        <w:ind w:left="426" w:hanging="426"/>
        <w:jc w:val="both"/>
        <w:rPr>
          <w:rFonts w:ascii="Times New Roman" w:hAnsi="Times New Roman" w:cs="Times New Roman"/>
          <w:sz w:val="23"/>
          <w:szCs w:val="23"/>
        </w:rPr>
      </w:pPr>
      <w:r w:rsidRPr="00FC346C">
        <w:rPr>
          <w:rFonts w:ascii="Times New Roman" w:hAnsi="Times New Roman" w:cs="Times New Roman"/>
          <w:sz w:val="23"/>
          <w:szCs w:val="23"/>
        </w:rPr>
        <w:t xml:space="preserve">Importantly, </w:t>
      </w:r>
      <w:r w:rsidR="00DF7C05" w:rsidRPr="00FC346C">
        <w:rPr>
          <w:rFonts w:ascii="Times New Roman" w:hAnsi="Times New Roman" w:cs="Times New Roman"/>
          <w:sz w:val="23"/>
          <w:szCs w:val="23"/>
        </w:rPr>
        <w:t xml:space="preserve">PGCIL is utilising </w:t>
      </w:r>
      <w:r w:rsidR="00403CFF" w:rsidRPr="00FC346C">
        <w:rPr>
          <w:rFonts w:ascii="Times New Roman" w:hAnsi="Times New Roman" w:cs="Times New Roman"/>
          <w:sz w:val="23"/>
          <w:szCs w:val="23"/>
        </w:rPr>
        <w:t xml:space="preserve">its </w:t>
      </w:r>
      <w:r w:rsidR="00DF7C05" w:rsidRPr="00FC346C">
        <w:rPr>
          <w:rFonts w:ascii="Times New Roman" w:hAnsi="Times New Roman" w:cs="Times New Roman"/>
          <w:sz w:val="23"/>
          <w:szCs w:val="23"/>
        </w:rPr>
        <w:t>in-house employees to earn income from the consultancy activities</w:t>
      </w:r>
      <w:r w:rsidR="0072046E" w:rsidRPr="00FC346C">
        <w:rPr>
          <w:rFonts w:ascii="Times New Roman" w:hAnsi="Times New Roman" w:cs="Times New Roman"/>
          <w:sz w:val="23"/>
          <w:szCs w:val="23"/>
        </w:rPr>
        <w:t>. The salaries of such in-house employees</w:t>
      </w:r>
      <w:r w:rsidR="00DF7C05" w:rsidRPr="00FC346C">
        <w:rPr>
          <w:rFonts w:ascii="Times New Roman" w:hAnsi="Times New Roman" w:cs="Times New Roman"/>
          <w:sz w:val="23"/>
          <w:szCs w:val="23"/>
        </w:rPr>
        <w:t xml:space="preserve"> </w:t>
      </w:r>
      <w:r w:rsidR="0072046E" w:rsidRPr="00FC346C">
        <w:rPr>
          <w:rFonts w:ascii="Times New Roman" w:hAnsi="Times New Roman" w:cs="Times New Roman"/>
          <w:sz w:val="23"/>
          <w:szCs w:val="23"/>
        </w:rPr>
        <w:t xml:space="preserve">are already </w:t>
      </w:r>
      <w:r w:rsidR="00DF7C05" w:rsidRPr="00FC346C">
        <w:rPr>
          <w:rFonts w:ascii="Times New Roman" w:hAnsi="Times New Roman" w:cs="Times New Roman"/>
          <w:sz w:val="23"/>
          <w:szCs w:val="23"/>
        </w:rPr>
        <w:t>included under the O&amp;M expense</w:t>
      </w:r>
      <w:r w:rsidR="0072046E" w:rsidRPr="00FC346C">
        <w:rPr>
          <w:rFonts w:ascii="Times New Roman" w:hAnsi="Times New Roman" w:cs="Times New Roman"/>
          <w:sz w:val="23"/>
          <w:szCs w:val="23"/>
        </w:rPr>
        <w:t>s</w:t>
      </w:r>
      <w:r w:rsidR="00DF7C05" w:rsidRPr="00FC346C">
        <w:rPr>
          <w:rFonts w:ascii="Times New Roman" w:hAnsi="Times New Roman" w:cs="Times New Roman"/>
          <w:sz w:val="23"/>
          <w:szCs w:val="23"/>
        </w:rPr>
        <w:t xml:space="preserve">. Neither the benefit of income earned from consultancy </w:t>
      </w:r>
      <w:r w:rsidRPr="00FC346C">
        <w:rPr>
          <w:rFonts w:ascii="Times New Roman" w:hAnsi="Times New Roman" w:cs="Times New Roman"/>
          <w:sz w:val="23"/>
          <w:szCs w:val="23"/>
        </w:rPr>
        <w:t>activities,</w:t>
      </w:r>
      <w:r w:rsidR="00823DCF" w:rsidRPr="00FC346C">
        <w:rPr>
          <w:rFonts w:ascii="Times New Roman" w:hAnsi="Times New Roman" w:cs="Times New Roman"/>
          <w:sz w:val="23"/>
          <w:szCs w:val="23"/>
        </w:rPr>
        <w:t xml:space="preserve"> </w:t>
      </w:r>
      <w:r w:rsidR="00DF7C05" w:rsidRPr="00FC346C">
        <w:rPr>
          <w:rFonts w:ascii="Times New Roman" w:hAnsi="Times New Roman" w:cs="Times New Roman"/>
          <w:sz w:val="23"/>
          <w:szCs w:val="23"/>
        </w:rPr>
        <w:t xml:space="preserve">nor </w:t>
      </w:r>
      <w:r w:rsidR="00823DCF" w:rsidRPr="00FC346C">
        <w:rPr>
          <w:rFonts w:ascii="Times New Roman" w:hAnsi="Times New Roman" w:cs="Times New Roman"/>
          <w:sz w:val="23"/>
          <w:szCs w:val="23"/>
        </w:rPr>
        <w:t>the</w:t>
      </w:r>
      <w:r w:rsidR="00DF7C05" w:rsidRPr="00FC346C">
        <w:rPr>
          <w:rFonts w:ascii="Times New Roman" w:hAnsi="Times New Roman" w:cs="Times New Roman"/>
          <w:sz w:val="23"/>
          <w:szCs w:val="23"/>
        </w:rPr>
        <w:t xml:space="preserve"> exclusion of the corresponding employee expenses is dealt </w:t>
      </w:r>
      <w:r w:rsidR="00823DCF" w:rsidRPr="00FC346C">
        <w:rPr>
          <w:rFonts w:ascii="Times New Roman" w:hAnsi="Times New Roman" w:cs="Times New Roman"/>
          <w:sz w:val="23"/>
          <w:szCs w:val="23"/>
        </w:rPr>
        <w:t>with while approving</w:t>
      </w:r>
      <w:r w:rsidR="00DF7C05" w:rsidRPr="00FC346C">
        <w:rPr>
          <w:rFonts w:ascii="Times New Roman" w:hAnsi="Times New Roman" w:cs="Times New Roman"/>
          <w:sz w:val="23"/>
          <w:szCs w:val="23"/>
        </w:rPr>
        <w:t xml:space="preserve"> the O&amp;M expense</w:t>
      </w:r>
      <w:r w:rsidR="00823DCF" w:rsidRPr="00FC346C">
        <w:rPr>
          <w:rFonts w:ascii="Times New Roman" w:hAnsi="Times New Roman" w:cs="Times New Roman"/>
          <w:sz w:val="23"/>
          <w:szCs w:val="23"/>
        </w:rPr>
        <w:t>s</w:t>
      </w:r>
      <w:r w:rsidR="00DF7C05" w:rsidRPr="00FC346C">
        <w:rPr>
          <w:rFonts w:ascii="Times New Roman" w:hAnsi="Times New Roman" w:cs="Times New Roman"/>
          <w:sz w:val="23"/>
          <w:szCs w:val="23"/>
        </w:rPr>
        <w:t xml:space="preserve"> of PGCIL. Therefore, it is suggested </w:t>
      </w:r>
      <w:r w:rsidR="00A42292">
        <w:rPr>
          <w:rFonts w:ascii="Times New Roman" w:hAnsi="Times New Roman" w:cs="Times New Roman"/>
          <w:sz w:val="23"/>
          <w:szCs w:val="23"/>
        </w:rPr>
        <w:t>such consultancy</w:t>
      </w:r>
      <w:r w:rsidR="00DF7C05" w:rsidRPr="00FC346C">
        <w:rPr>
          <w:rFonts w:ascii="Times New Roman" w:hAnsi="Times New Roman" w:cs="Times New Roman"/>
          <w:sz w:val="23"/>
          <w:szCs w:val="23"/>
        </w:rPr>
        <w:t xml:space="preserve"> income and any other income earned by </w:t>
      </w:r>
      <w:r w:rsidR="00823DCF" w:rsidRPr="00FC346C">
        <w:rPr>
          <w:rFonts w:ascii="Times New Roman" w:hAnsi="Times New Roman" w:cs="Times New Roman"/>
          <w:sz w:val="23"/>
          <w:szCs w:val="23"/>
        </w:rPr>
        <w:t xml:space="preserve">a </w:t>
      </w:r>
      <w:r w:rsidR="00352DD7" w:rsidRPr="00FC346C">
        <w:rPr>
          <w:rFonts w:ascii="Times New Roman" w:hAnsi="Times New Roman" w:cs="Times New Roman"/>
          <w:sz w:val="23"/>
          <w:szCs w:val="23"/>
        </w:rPr>
        <w:t>transmission licensee</w:t>
      </w:r>
      <w:r w:rsidR="00A42292">
        <w:rPr>
          <w:rFonts w:ascii="Times New Roman" w:hAnsi="Times New Roman" w:cs="Times New Roman"/>
          <w:sz w:val="23"/>
          <w:szCs w:val="23"/>
        </w:rPr>
        <w:t xml:space="preserve"> from other revenue streams</w:t>
      </w:r>
      <w:r w:rsidR="00352DD7" w:rsidRPr="00FC346C">
        <w:rPr>
          <w:rFonts w:ascii="Times New Roman" w:hAnsi="Times New Roman" w:cs="Times New Roman"/>
          <w:sz w:val="23"/>
          <w:szCs w:val="23"/>
        </w:rPr>
        <w:t xml:space="preserve">, </w:t>
      </w:r>
      <w:r w:rsidR="00DF7C05" w:rsidRPr="00FC346C">
        <w:rPr>
          <w:rFonts w:ascii="Times New Roman" w:hAnsi="Times New Roman" w:cs="Times New Roman"/>
          <w:sz w:val="23"/>
          <w:szCs w:val="23"/>
        </w:rPr>
        <w:t xml:space="preserve">apart from the transmission </w:t>
      </w:r>
      <w:r w:rsidR="00352DD7" w:rsidRPr="00FC346C">
        <w:rPr>
          <w:rFonts w:ascii="Times New Roman" w:hAnsi="Times New Roman" w:cs="Times New Roman"/>
          <w:sz w:val="23"/>
          <w:szCs w:val="23"/>
        </w:rPr>
        <w:t xml:space="preserve">and telecom </w:t>
      </w:r>
      <w:r w:rsidR="00DF7C05" w:rsidRPr="00FC346C">
        <w:rPr>
          <w:rFonts w:ascii="Times New Roman" w:hAnsi="Times New Roman" w:cs="Times New Roman"/>
          <w:sz w:val="23"/>
          <w:szCs w:val="23"/>
        </w:rPr>
        <w:t>business</w:t>
      </w:r>
      <w:r w:rsidR="00352DD7" w:rsidRPr="00FC346C">
        <w:rPr>
          <w:rFonts w:ascii="Times New Roman" w:hAnsi="Times New Roman" w:cs="Times New Roman"/>
          <w:sz w:val="23"/>
          <w:szCs w:val="23"/>
        </w:rPr>
        <w:t>es, may</w:t>
      </w:r>
      <w:r w:rsidR="00DF7C05" w:rsidRPr="00FC346C">
        <w:rPr>
          <w:rFonts w:ascii="Times New Roman" w:hAnsi="Times New Roman" w:cs="Times New Roman"/>
          <w:sz w:val="23"/>
          <w:szCs w:val="23"/>
        </w:rPr>
        <w:t xml:space="preserve"> </w:t>
      </w:r>
      <w:r w:rsidR="00A42292">
        <w:rPr>
          <w:rFonts w:ascii="Times New Roman" w:hAnsi="Times New Roman" w:cs="Times New Roman"/>
          <w:sz w:val="23"/>
          <w:szCs w:val="23"/>
        </w:rPr>
        <w:t xml:space="preserve">also </w:t>
      </w:r>
      <w:r w:rsidR="00DF7C05" w:rsidRPr="00FC346C">
        <w:rPr>
          <w:rFonts w:ascii="Times New Roman" w:hAnsi="Times New Roman" w:cs="Times New Roman"/>
          <w:sz w:val="23"/>
          <w:szCs w:val="23"/>
        </w:rPr>
        <w:t xml:space="preserve">be shared with the beneficiaries. </w:t>
      </w:r>
    </w:p>
    <w:p w14:paraId="562DC784" w14:textId="77777777" w:rsidR="001E5B9F" w:rsidRPr="00FC346C" w:rsidRDefault="001E5B9F" w:rsidP="001E5B9F">
      <w:pPr>
        <w:pStyle w:val="ListParagraph"/>
        <w:spacing w:after="0" w:line="360" w:lineRule="auto"/>
        <w:ind w:left="426"/>
        <w:jc w:val="both"/>
        <w:rPr>
          <w:rFonts w:ascii="Times New Roman" w:hAnsi="Times New Roman" w:cs="Times New Roman"/>
          <w:sz w:val="23"/>
          <w:szCs w:val="23"/>
        </w:rPr>
      </w:pPr>
    </w:p>
    <w:p w14:paraId="1245DA50" w14:textId="4C042C6E" w:rsidR="007E6409" w:rsidRPr="00FC346C" w:rsidRDefault="00043368" w:rsidP="007E6409">
      <w:pPr>
        <w:pStyle w:val="ListParagraph"/>
        <w:numPr>
          <w:ilvl w:val="0"/>
          <w:numId w:val="1"/>
        </w:numPr>
        <w:spacing w:after="0" w:line="360" w:lineRule="auto"/>
        <w:ind w:left="426" w:hanging="426"/>
        <w:jc w:val="both"/>
        <w:rPr>
          <w:rFonts w:ascii="Times New Roman" w:hAnsi="Times New Roman" w:cs="Times New Roman"/>
          <w:sz w:val="23"/>
          <w:szCs w:val="23"/>
        </w:rPr>
      </w:pPr>
      <w:r w:rsidRPr="00FC346C">
        <w:rPr>
          <w:rFonts w:ascii="Times New Roman" w:hAnsi="Times New Roman" w:cs="Times New Roman"/>
          <w:sz w:val="23"/>
          <w:szCs w:val="23"/>
        </w:rPr>
        <w:t>Significantly, there is an</w:t>
      </w:r>
      <w:r w:rsidR="007E6409" w:rsidRPr="00FC346C">
        <w:rPr>
          <w:rFonts w:ascii="Times New Roman" w:hAnsi="Times New Roman" w:cs="Times New Roman"/>
          <w:sz w:val="23"/>
          <w:szCs w:val="23"/>
        </w:rPr>
        <w:t xml:space="preserve"> inconsistency in the treatment of non-tariff income, especially considering that revenue from telecom business, a significant component, has consistently been shared by PGCIL and other RTM licensees. The extant CERC (Sharing of Revenue Derived from Utilization of Transmission Assets for Other Business) Regulations, 2020, and its predecessor, the CERC (Sharing of Revenue derived from utilisation of transmission assets for other business) Regulations, 2007, explicitly mandate the sharing of telecom business revenue with beneficiaries. However, the proposed provision in the Draft Regulations fails to acknowledge this established precedent and inexplicably excludes certain substantial sources of non-tariff income such as consultancy services. This arbitrary approach raises concerns about the lack of a coherent rationale behind distinguishing between different types of non-tariff income. If telecom revenue, which is unrelated to core transmission activities, is subject to sharing, there should be a uniform and reasoned approach to include other income streams beyond the specified categories. Without a clear justification for this disparity, the non-inclusion of non-tariff income from</w:t>
      </w:r>
      <w:r w:rsidR="00EF54FB" w:rsidRPr="00FC346C">
        <w:rPr>
          <w:rFonts w:ascii="Times New Roman" w:hAnsi="Times New Roman" w:cs="Times New Roman"/>
          <w:sz w:val="23"/>
          <w:szCs w:val="23"/>
        </w:rPr>
        <w:t xml:space="preserve"> other streams such as</w:t>
      </w:r>
      <w:r w:rsidR="007E6409" w:rsidRPr="00FC346C">
        <w:rPr>
          <w:rFonts w:ascii="Times New Roman" w:hAnsi="Times New Roman" w:cs="Times New Roman"/>
          <w:sz w:val="23"/>
          <w:szCs w:val="23"/>
        </w:rPr>
        <w:t xml:space="preserve"> consultancy services appears arbitrary and warrants reconsideration.</w:t>
      </w:r>
    </w:p>
    <w:p w14:paraId="222C83B4" w14:textId="77777777" w:rsidR="00FA253B" w:rsidRPr="00FC346C" w:rsidRDefault="00FA253B" w:rsidP="00352DD7">
      <w:pPr>
        <w:pStyle w:val="ListParagraph"/>
        <w:spacing w:after="0" w:line="360" w:lineRule="auto"/>
        <w:ind w:left="426"/>
        <w:jc w:val="both"/>
        <w:rPr>
          <w:rFonts w:ascii="Times New Roman" w:hAnsi="Times New Roman" w:cs="Times New Roman"/>
          <w:b/>
          <w:bCs/>
          <w:i/>
          <w:iCs/>
          <w:sz w:val="23"/>
          <w:szCs w:val="23"/>
        </w:rPr>
      </w:pPr>
    </w:p>
    <w:p w14:paraId="15306A75" w14:textId="62FA4C0E" w:rsidR="002E3752" w:rsidRPr="00FC346C" w:rsidRDefault="000918C0" w:rsidP="000918C0">
      <w:pPr>
        <w:spacing w:after="0" w:line="360" w:lineRule="auto"/>
        <w:jc w:val="both"/>
        <w:rPr>
          <w:rFonts w:ascii="Times New Roman" w:hAnsi="Times New Roman" w:cs="Times New Roman"/>
          <w:b/>
          <w:bCs/>
          <w:smallCaps/>
          <w:sz w:val="23"/>
          <w:szCs w:val="23"/>
        </w:rPr>
      </w:pPr>
      <w:r w:rsidRPr="00FC346C">
        <w:rPr>
          <w:rFonts w:ascii="Times New Roman" w:hAnsi="Times New Roman" w:cs="Times New Roman"/>
          <w:b/>
          <w:bCs/>
          <w:smallCaps/>
          <w:sz w:val="23"/>
          <w:szCs w:val="23"/>
        </w:rPr>
        <w:t xml:space="preserve">Need to Regularly Review RoE for </w:t>
      </w:r>
      <w:r w:rsidR="002E3752" w:rsidRPr="00FC346C">
        <w:rPr>
          <w:rFonts w:ascii="Times New Roman" w:hAnsi="Times New Roman" w:cs="Times New Roman"/>
          <w:b/>
          <w:bCs/>
          <w:smallCaps/>
          <w:sz w:val="23"/>
          <w:szCs w:val="23"/>
        </w:rPr>
        <w:t xml:space="preserve">Existing </w:t>
      </w:r>
      <w:r w:rsidRPr="00FC346C">
        <w:rPr>
          <w:rFonts w:ascii="Times New Roman" w:hAnsi="Times New Roman" w:cs="Times New Roman"/>
          <w:b/>
          <w:bCs/>
          <w:smallCaps/>
          <w:sz w:val="23"/>
          <w:szCs w:val="23"/>
        </w:rPr>
        <w:t xml:space="preserve">RTM </w:t>
      </w:r>
      <w:r w:rsidR="002E3752" w:rsidRPr="00FC346C">
        <w:rPr>
          <w:rFonts w:ascii="Times New Roman" w:hAnsi="Times New Roman" w:cs="Times New Roman"/>
          <w:b/>
          <w:bCs/>
          <w:smallCaps/>
          <w:sz w:val="23"/>
          <w:szCs w:val="23"/>
        </w:rPr>
        <w:t>Projects</w:t>
      </w:r>
    </w:p>
    <w:p w14:paraId="68748085" w14:textId="77777777" w:rsidR="002E3752" w:rsidRPr="00FC346C" w:rsidRDefault="002E3752" w:rsidP="00352DD7">
      <w:pPr>
        <w:pStyle w:val="ListParagraph"/>
        <w:spacing w:after="0" w:line="360" w:lineRule="auto"/>
        <w:ind w:left="284"/>
        <w:jc w:val="both"/>
        <w:rPr>
          <w:rFonts w:ascii="Times New Roman" w:hAnsi="Times New Roman" w:cs="Times New Roman"/>
          <w:sz w:val="23"/>
          <w:szCs w:val="23"/>
        </w:rPr>
      </w:pPr>
    </w:p>
    <w:p w14:paraId="575103D1" w14:textId="339AADD9" w:rsidR="001D5B1C" w:rsidRPr="00FC346C" w:rsidRDefault="00253C8F" w:rsidP="00352DD7">
      <w:pPr>
        <w:pStyle w:val="ListParagraph"/>
        <w:numPr>
          <w:ilvl w:val="0"/>
          <w:numId w:val="1"/>
        </w:numPr>
        <w:spacing w:after="0" w:line="360" w:lineRule="auto"/>
        <w:ind w:left="426" w:hanging="426"/>
        <w:jc w:val="both"/>
        <w:rPr>
          <w:rFonts w:ascii="Times New Roman" w:eastAsia="Times New Roman" w:hAnsi="Times New Roman" w:cs="Times New Roman"/>
          <w:sz w:val="23"/>
          <w:szCs w:val="23"/>
        </w:rPr>
      </w:pPr>
      <w:r w:rsidRPr="00FC346C">
        <w:rPr>
          <w:rFonts w:ascii="Times New Roman" w:eastAsia="Times New Roman" w:hAnsi="Times New Roman" w:cs="Times New Roman"/>
          <w:sz w:val="23"/>
          <w:szCs w:val="23"/>
        </w:rPr>
        <w:t>While not altering the RoE for any existing projects</w:t>
      </w:r>
      <w:r w:rsidR="001D5B1C" w:rsidRPr="00FC346C">
        <w:rPr>
          <w:rFonts w:ascii="Times New Roman" w:eastAsia="Times New Roman" w:hAnsi="Times New Roman" w:cs="Times New Roman"/>
          <w:sz w:val="23"/>
          <w:szCs w:val="23"/>
        </w:rPr>
        <w:t>, including transmission projects</w:t>
      </w:r>
      <w:r w:rsidRPr="00FC346C">
        <w:rPr>
          <w:rFonts w:ascii="Times New Roman" w:eastAsia="Times New Roman" w:hAnsi="Times New Roman" w:cs="Times New Roman"/>
          <w:sz w:val="23"/>
          <w:szCs w:val="23"/>
        </w:rPr>
        <w:t xml:space="preserve"> (15.5%), </w:t>
      </w:r>
      <w:r w:rsidR="00C93BD5" w:rsidRPr="00FC346C">
        <w:rPr>
          <w:rFonts w:ascii="Times New Roman" w:eastAsia="Times New Roman" w:hAnsi="Times New Roman" w:cs="Times New Roman"/>
          <w:sz w:val="23"/>
          <w:szCs w:val="23"/>
        </w:rPr>
        <w:t>this Hon’ble Commission</w:t>
      </w:r>
      <w:r w:rsidRPr="00FC346C">
        <w:rPr>
          <w:rFonts w:ascii="Times New Roman" w:eastAsia="Times New Roman" w:hAnsi="Times New Roman" w:cs="Times New Roman"/>
          <w:sz w:val="23"/>
          <w:szCs w:val="23"/>
        </w:rPr>
        <w:t xml:space="preserve"> has relied on the need for regulatory certainty and the need for aggressive capacity addition</w:t>
      </w:r>
      <w:r w:rsidR="001D5B1C" w:rsidRPr="00FC346C">
        <w:rPr>
          <w:rFonts w:ascii="Times New Roman" w:eastAsia="Times New Roman" w:hAnsi="Times New Roman" w:cs="Times New Roman"/>
          <w:sz w:val="23"/>
          <w:szCs w:val="23"/>
        </w:rPr>
        <w:t xml:space="preserve">. </w:t>
      </w:r>
      <w:r w:rsidRPr="00FC346C">
        <w:rPr>
          <w:rFonts w:ascii="Times New Roman" w:eastAsia="Times New Roman" w:hAnsi="Times New Roman" w:cs="Times New Roman"/>
          <w:sz w:val="23"/>
          <w:szCs w:val="23"/>
        </w:rPr>
        <w:t xml:space="preserve">This appears to be flawed as </w:t>
      </w:r>
      <w:r w:rsidR="008A38D6" w:rsidRPr="00FC346C">
        <w:rPr>
          <w:rFonts w:ascii="Times New Roman" w:eastAsia="Times New Roman" w:hAnsi="Times New Roman" w:cs="Times New Roman"/>
          <w:sz w:val="23"/>
          <w:szCs w:val="23"/>
        </w:rPr>
        <w:t xml:space="preserve">the NTP requires </w:t>
      </w:r>
      <w:r w:rsidR="00C93BD5" w:rsidRPr="00FC346C">
        <w:rPr>
          <w:rFonts w:ascii="Times New Roman" w:eastAsia="Times New Roman" w:hAnsi="Times New Roman" w:cs="Times New Roman"/>
          <w:sz w:val="23"/>
          <w:szCs w:val="23"/>
        </w:rPr>
        <w:t>this Hon’ble Commission</w:t>
      </w:r>
      <w:r w:rsidR="008A38D6" w:rsidRPr="00FC346C">
        <w:rPr>
          <w:rFonts w:ascii="Times New Roman" w:eastAsia="Times New Roman" w:hAnsi="Times New Roman" w:cs="Times New Roman"/>
          <w:sz w:val="23"/>
          <w:szCs w:val="23"/>
        </w:rPr>
        <w:t xml:space="preserve"> to</w:t>
      </w:r>
      <w:r w:rsidRPr="00FC346C">
        <w:rPr>
          <w:rFonts w:ascii="Times New Roman" w:eastAsia="Times New Roman" w:hAnsi="Times New Roman" w:cs="Times New Roman"/>
          <w:sz w:val="23"/>
          <w:szCs w:val="23"/>
        </w:rPr>
        <w:t xml:space="preserve"> </w:t>
      </w:r>
      <w:r w:rsidR="00A357C1" w:rsidRPr="00FC346C">
        <w:rPr>
          <w:rFonts w:ascii="Times New Roman" w:eastAsia="Times New Roman" w:hAnsi="Times New Roman" w:cs="Times New Roman"/>
          <w:sz w:val="23"/>
          <w:szCs w:val="23"/>
        </w:rPr>
        <w:t xml:space="preserve">periodically </w:t>
      </w:r>
      <w:r w:rsidR="008A38D6" w:rsidRPr="00FC346C">
        <w:rPr>
          <w:rFonts w:ascii="Times New Roman" w:eastAsia="Times New Roman" w:hAnsi="Times New Roman" w:cs="Times New Roman"/>
          <w:sz w:val="23"/>
          <w:szCs w:val="23"/>
        </w:rPr>
        <w:t xml:space="preserve">assess the market risk </w:t>
      </w:r>
      <w:r w:rsidR="00A357C1" w:rsidRPr="00FC346C">
        <w:rPr>
          <w:rFonts w:ascii="Times New Roman" w:eastAsia="Times New Roman" w:hAnsi="Times New Roman" w:cs="Times New Roman"/>
          <w:sz w:val="23"/>
          <w:szCs w:val="23"/>
        </w:rPr>
        <w:t xml:space="preserve">(i.e., for every 5 year control period) for all existing and future projects to ensure that the </w:t>
      </w:r>
      <w:r w:rsidR="0066351C" w:rsidRPr="00FC346C">
        <w:rPr>
          <w:rFonts w:ascii="Times New Roman" w:eastAsia="Times New Roman" w:hAnsi="Times New Roman" w:cs="Times New Roman"/>
          <w:sz w:val="23"/>
          <w:szCs w:val="23"/>
        </w:rPr>
        <w:t>electricity tariffs are in line with the prevailing market condition</w:t>
      </w:r>
      <w:r w:rsidR="003316B7" w:rsidRPr="00FC346C">
        <w:rPr>
          <w:rFonts w:ascii="Times New Roman" w:eastAsia="Times New Roman" w:hAnsi="Times New Roman" w:cs="Times New Roman"/>
          <w:sz w:val="23"/>
          <w:szCs w:val="23"/>
        </w:rPr>
        <w:t>s</w:t>
      </w:r>
      <w:r w:rsidR="001D5B1C" w:rsidRPr="00FC346C">
        <w:rPr>
          <w:rFonts w:ascii="Times New Roman" w:eastAsia="Times New Roman" w:hAnsi="Times New Roman" w:cs="Times New Roman"/>
          <w:sz w:val="23"/>
          <w:szCs w:val="23"/>
        </w:rPr>
        <w:t>.</w:t>
      </w:r>
      <w:r w:rsidR="0066351C" w:rsidRPr="00FC346C">
        <w:rPr>
          <w:rFonts w:ascii="Times New Roman" w:eastAsia="Times New Roman" w:hAnsi="Times New Roman" w:cs="Times New Roman"/>
          <w:sz w:val="23"/>
          <w:szCs w:val="23"/>
        </w:rPr>
        <w:t xml:space="preserve"> RoE, being a key component of the tariff, also needs to be in line with the </w:t>
      </w:r>
      <w:r w:rsidR="00512A31" w:rsidRPr="00FC346C">
        <w:rPr>
          <w:rFonts w:ascii="Times New Roman" w:eastAsia="Times New Roman" w:hAnsi="Times New Roman" w:cs="Times New Roman"/>
          <w:sz w:val="23"/>
          <w:szCs w:val="23"/>
        </w:rPr>
        <w:t>prevailing market risk/ cost of capital</w:t>
      </w:r>
      <w:r w:rsidR="003316B7" w:rsidRPr="00FC346C">
        <w:rPr>
          <w:rFonts w:ascii="Times New Roman" w:eastAsia="Times New Roman" w:hAnsi="Times New Roman" w:cs="Times New Roman"/>
          <w:sz w:val="23"/>
          <w:szCs w:val="23"/>
        </w:rPr>
        <w:t xml:space="preserve"> – as mandated by the NTP</w:t>
      </w:r>
      <w:r w:rsidR="00512A31" w:rsidRPr="00FC346C">
        <w:rPr>
          <w:rFonts w:ascii="Times New Roman" w:eastAsia="Times New Roman" w:hAnsi="Times New Roman" w:cs="Times New Roman"/>
          <w:sz w:val="23"/>
          <w:szCs w:val="23"/>
        </w:rPr>
        <w:t>.</w:t>
      </w:r>
      <w:r w:rsidR="003316B7" w:rsidRPr="00FC346C">
        <w:rPr>
          <w:rFonts w:ascii="Times New Roman" w:eastAsia="Times New Roman" w:hAnsi="Times New Roman" w:cs="Times New Roman"/>
          <w:sz w:val="23"/>
          <w:szCs w:val="23"/>
        </w:rPr>
        <w:t xml:space="preserve"> Therefore, prescription of a different RoE for existing and new</w:t>
      </w:r>
      <w:r w:rsidR="00D20D9B" w:rsidRPr="00FC346C">
        <w:rPr>
          <w:rFonts w:ascii="Times New Roman" w:eastAsia="Times New Roman" w:hAnsi="Times New Roman" w:cs="Times New Roman"/>
          <w:sz w:val="23"/>
          <w:szCs w:val="23"/>
        </w:rPr>
        <w:t xml:space="preserve"> transmission</w:t>
      </w:r>
      <w:r w:rsidR="003316B7" w:rsidRPr="00FC346C">
        <w:rPr>
          <w:rFonts w:ascii="Times New Roman" w:eastAsia="Times New Roman" w:hAnsi="Times New Roman" w:cs="Times New Roman"/>
          <w:sz w:val="23"/>
          <w:szCs w:val="23"/>
        </w:rPr>
        <w:t xml:space="preserve"> projects is not warranted or prudent. </w:t>
      </w:r>
      <w:r w:rsidR="00512A31" w:rsidRPr="00FC346C">
        <w:rPr>
          <w:rFonts w:ascii="Times New Roman" w:eastAsia="Times New Roman" w:hAnsi="Times New Roman" w:cs="Times New Roman"/>
          <w:sz w:val="23"/>
          <w:szCs w:val="23"/>
        </w:rPr>
        <w:t xml:space="preserve"> </w:t>
      </w:r>
      <w:r w:rsidR="001D5B1C" w:rsidRPr="00FC346C">
        <w:rPr>
          <w:rFonts w:ascii="Times New Roman" w:eastAsia="Times New Roman" w:hAnsi="Times New Roman" w:cs="Times New Roman"/>
          <w:sz w:val="23"/>
          <w:szCs w:val="23"/>
        </w:rPr>
        <w:t xml:space="preserve"> </w:t>
      </w:r>
    </w:p>
    <w:p w14:paraId="5A0C4D07" w14:textId="77777777" w:rsidR="001D5B1C" w:rsidRPr="00FC346C" w:rsidRDefault="001D5B1C" w:rsidP="00352DD7">
      <w:pPr>
        <w:pStyle w:val="ListParagraph"/>
        <w:spacing w:after="0" w:line="360" w:lineRule="auto"/>
        <w:rPr>
          <w:rFonts w:ascii="Times New Roman" w:hAnsi="Times New Roman" w:cs="Times New Roman"/>
          <w:sz w:val="23"/>
          <w:szCs w:val="23"/>
        </w:rPr>
      </w:pPr>
    </w:p>
    <w:p w14:paraId="74EC67D5" w14:textId="46886FE4" w:rsidR="00B31447" w:rsidRPr="00FC346C" w:rsidRDefault="00B31447" w:rsidP="00B31447">
      <w:pPr>
        <w:pStyle w:val="ListParagraph"/>
        <w:numPr>
          <w:ilvl w:val="0"/>
          <w:numId w:val="1"/>
        </w:numPr>
        <w:spacing w:after="0" w:line="360" w:lineRule="auto"/>
        <w:ind w:left="426" w:hanging="426"/>
        <w:jc w:val="both"/>
        <w:rPr>
          <w:rFonts w:ascii="Times New Roman" w:hAnsi="Times New Roman" w:cs="Times New Roman"/>
          <w:sz w:val="23"/>
          <w:szCs w:val="23"/>
        </w:rPr>
      </w:pPr>
      <w:r w:rsidRPr="00FC346C">
        <w:rPr>
          <w:rFonts w:ascii="Times New Roman" w:hAnsi="Times New Roman" w:cs="Times New Roman"/>
          <w:sz w:val="23"/>
          <w:szCs w:val="23"/>
        </w:rPr>
        <w:t xml:space="preserve">A perusal of the EM for the Draft Regulations reveals a lack of </w:t>
      </w:r>
      <w:r w:rsidR="00F064CA" w:rsidRPr="00FC346C">
        <w:rPr>
          <w:rFonts w:ascii="Times New Roman" w:hAnsi="Times New Roman" w:cs="Times New Roman"/>
          <w:sz w:val="23"/>
          <w:szCs w:val="23"/>
        </w:rPr>
        <w:t xml:space="preserve">cogent </w:t>
      </w:r>
      <w:r w:rsidRPr="00FC346C">
        <w:rPr>
          <w:rFonts w:ascii="Times New Roman" w:hAnsi="Times New Roman" w:cs="Times New Roman"/>
          <w:sz w:val="23"/>
          <w:szCs w:val="23"/>
        </w:rPr>
        <w:t xml:space="preserve">rationale </w:t>
      </w:r>
      <w:r w:rsidR="00F064CA" w:rsidRPr="00FC346C">
        <w:rPr>
          <w:rFonts w:ascii="Times New Roman" w:hAnsi="Times New Roman" w:cs="Times New Roman"/>
          <w:sz w:val="23"/>
          <w:szCs w:val="23"/>
        </w:rPr>
        <w:t>for differential RoE for existing and future projects</w:t>
      </w:r>
      <w:r w:rsidRPr="00FC346C">
        <w:rPr>
          <w:rFonts w:ascii="Times New Roman" w:hAnsi="Times New Roman" w:cs="Times New Roman"/>
          <w:sz w:val="23"/>
          <w:szCs w:val="23"/>
        </w:rPr>
        <w:t xml:space="preserve">. This differentiation, devoid of substantive justification, </w:t>
      </w:r>
      <w:r w:rsidR="00F064CA" w:rsidRPr="00FC346C">
        <w:rPr>
          <w:rFonts w:ascii="Times New Roman" w:hAnsi="Times New Roman" w:cs="Times New Roman"/>
          <w:sz w:val="23"/>
          <w:szCs w:val="23"/>
        </w:rPr>
        <w:t>appears to be arbitrary and irrational</w:t>
      </w:r>
      <w:r w:rsidRPr="00FC346C">
        <w:rPr>
          <w:rFonts w:ascii="Times New Roman" w:hAnsi="Times New Roman" w:cs="Times New Roman"/>
          <w:sz w:val="23"/>
          <w:szCs w:val="23"/>
        </w:rPr>
        <w:t xml:space="preserve">. </w:t>
      </w:r>
      <w:r w:rsidR="00F064CA" w:rsidRPr="00FC346C">
        <w:rPr>
          <w:rFonts w:ascii="Times New Roman" w:hAnsi="Times New Roman" w:cs="Times New Roman"/>
          <w:sz w:val="23"/>
          <w:szCs w:val="23"/>
        </w:rPr>
        <w:t>Notably,</w:t>
      </w:r>
      <w:r w:rsidRPr="00FC346C">
        <w:rPr>
          <w:rFonts w:ascii="Times New Roman" w:hAnsi="Times New Roman" w:cs="Times New Roman"/>
          <w:sz w:val="23"/>
          <w:szCs w:val="23"/>
        </w:rPr>
        <w:t xml:space="preserve"> Section 62 of the Electricity Act, 2003, does not confer upon th</w:t>
      </w:r>
      <w:r w:rsidR="00F064CA" w:rsidRPr="00FC346C">
        <w:rPr>
          <w:rFonts w:ascii="Times New Roman" w:hAnsi="Times New Roman" w:cs="Times New Roman"/>
          <w:sz w:val="23"/>
          <w:szCs w:val="23"/>
        </w:rPr>
        <w:t>is</w:t>
      </w:r>
      <w:r w:rsidRPr="00FC346C">
        <w:rPr>
          <w:rFonts w:ascii="Times New Roman" w:hAnsi="Times New Roman" w:cs="Times New Roman"/>
          <w:sz w:val="23"/>
          <w:szCs w:val="23"/>
        </w:rPr>
        <w:t xml:space="preserve"> Hon'ble Commission the authority to make such distinctions between </w:t>
      </w:r>
      <w:r w:rsidR="00F064CA" w:rsidRPr="00FC346C">
        <w:rPr>
          <w:rFonts w:ascii="Times New Roman" w:hAnsi="Times New Roman" w:cs="Times New Roman"/>
          <w:sz w:val="23"/>
          <w:szCs w:val="23"/>
        </w:rPr>
        <w:t xml:space="preserve">the RoE for </w:t>
      </w:r>
      <w:r w:rsidRPr="00FC346C">
        <w:rPr>
          <w:rFonts w:ascii="Times New Roman" w:hAnsi="Times New Roman" w:cs="Times New Roman"/>
          <w:sz w:val="23"/>
          <w:szCs w:val="23"/>
        </w:rPr>
        <w:t xml:space="preserve">existing and future projects. Consequently, a reassessment of the </w:t>
      </w:r>
      <w:r w:rsidR="00DF0797" w:rsidRPr="00FC346C">
        <w:rPr>
          <w:rFonts w:ascii="Times New Roman" w:hAnsi="Times New Roman" w:cs="Times New Roman"/>
          <w:sz w:val="23"/>
          <w:szCs w:val="23"/>
        </w:rPr>
        <w:t>proposal to continue 15.5% RoE for existing projects is warranted</w:t>
      </w:r>
      <w:r w:rsidRPr="00FC346C">
        <w:rPr>
          <w:rFonts w:ascii="Times New Roman" w:hAnsi="Times New Roman" w:cs="Times New Roman"/>
          <w:sz w:val="23"/>
          <w:szCs w:val="23"/>
        </w:rPr>
        <w:t>.</w:t>
      </w:r>
    </w:p>
    <w:p w14:paraId="7551BA07" w14:textId="77777777" w:rsidR="00141BDA" w:rsidRPr="00FC346C" w:rsidRDefault="00141BDA" w:rsidP="00352DD7">
      <w:pPr>
        <w:pStyle w:val="ListParagraph"/>
        <w:spacing w:after="0" w:line="360" w:lineRule="auto"/>
        <w:rPr>
          <w:rFonts w:ascii="Times New Roman" w:hAnsi="Times New Roman" w:cs="Times New Roman"/>
          <w:sz w:val="23"/>
          <w:szCs w:val="23"/>
        </w:rPr>
      </w:pPr>
    </w:p>
    <w:p w14:paraId="3ED0B3D3" w14:textId="41B1413A" w:rsidR="00864D6E" w:rsidRPr="00FC346C" w:rsidRDefault="00864D6E">
      <w:pPr>
        <w:rPr>
          <w:rFonts w:ascii="Times New Roman" w:hAnsi="Times New Roman" w:cs="Times New Roman"/>
          <w:sz w:val="23"/>
          <w:szCs w:val="23"/>
        </w:rPr>
      </w:pPr>
      <w:r w:rsidRPr="00FC346C">
        <w:rPr>
          <w:rFonts w:ascii="Times New Roman" w:hAnsi="Times New Roman" w:cs="Times New Roman"/>
          <w:sz w:val="23"/>
          <w:szCs w:val="23"/>
        </w:rPr>
        <w:br w:type="page"/>
      </w:r>
    </w:p>
    <w:p w14:paraId="109A9E6E" w14:textId="02080F47" w:rsidR="00F372CC" w:rsidRPr="00FC346C" w:rsidRDefault="00F372CC" w:rsidP="00F372CC">
      <w:pPr>
        <w:pStyle w:val="Default"/>
        <w:spacing w:after="240" w:line="276" w:lineRule="auto"/>
        <w:jc w:val="center"/>
        <w:rPr>
          <w:rFonts w:ascii="Times New Roman" w:hAnsi="Times New Roman" w:cs="Times New Roman"/>
          <w:b/>
          <w:sz w:val="23"/>
          <w:szCs w:val="23"/>
          <w:u w:val="single"/>
        </w:rPr>
      </w:pPr>
      <w:r w:rsidRPr="00FC346C">
        <w:rPr>
          <w:rFonts w:ascii="Times New Roman" w:hAnsi="Times New Roman" w:cs="Times New Roman"/>
          <w:b/>
          <w:sz w:val="23"/>
          <w:szCs w:val="23"/>
          <w:u w:val="single"/>
        </w:rPr>
        <w:t>Annexure</w:t>
      </w:r>
      <w:r w:rsidR="008C7D0B" w:rsidRPr="00FC346C">
        <w:rPr>
          <w:rFonts w:ascii="Times New Roman" w:hAnsi="Times New Roman" w:cs="Times New Roman"/>
          <w:b/>
          <w:sz w:val="23"/>
          <w:szCs w:val="23"/>
          <w:u w:val="single"/>
        </w:rPr>
        <w:t>-</w:t>
      </w:r>
      <w:r w:rsidRPr="00FC346C">
        <w:rPr>
          <w:rFonts w:ascii="Times New Roman" w:hAnsi="Times New Roman" w:cs="Times New Roman"/>
          <w:b/>
          <w:sz w:val="23"/>
          <w:szCs w:val="23"/>
          <w:u w:val="single"/>
        </w:rPr>
        <w:t>I</w:t>
      </w:r>
      <w:r w:rsidR="008C7D0B" w:rsidRPr="00FC346C">
        <w:rPr>
          <w:rFonts w:ascii="Times New Roman" w:hAnsi="Times New Roman" w:cs="Times New Roman"/>
          <w:b/>
          <w:sz w:val="23"/>
          <w:szCs w:val="23"/>
          <w:u w:val="single"/>
        </w:rPr>
        <w:t>:</w:t>
      </w:r>
      <w:r w:rsidRPr="00FC346C">
        <w:rPr>
          <w:rFonts w:ascii="Times New Roman" w:hAnsi="Times New Roman" w:cs="Times New Roman"/>
          <w:b/>
          <w:sz w:val="23"/>
          <w:szCs w:val="23"/>
          <w:u w:val="single"/>
        </w:rPr>
        <w:t xml:space="preserve"> Annual Growth Rate and CAGR computation for Market Return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391"/>
        <w:gridCol w:w="1369"/>
        <w:gridCol w:w="1303"/>
        <w:gridCol w:w="1369"/>
        <w:gridCol w:w="2077"/>
      </w:tblGrid>
      <w:tr w:rsidR="00F372CC" w:rsidRPr="00FC346C" w14:paraId="0729943D" w14:textId="77777777" w:rsidTr="00C01E39">
        <w:trPr>
          <w:trHeight w:val="282"/>
        </w:trPr>
        <w:tc>
          <w:tcPr>
            <w:tcW w:w="817" w:type="pct"/>
            <w:shd w:val="clear" w:color="auto" w:fill="E7E6E6" w:themeFill="background2"/>
            <w:noWrap/>
            <w:vAlign w:val="center"/>
            <w:hideMark/>
          </w:tcPr>
          <w:p w14:paraId="16BCAEB1" w14:textId="77777777" w:rsidR="00F372CC" w:rsidRPr="00FC346C" w:rsidRDefault="00F372CC" w:rsidP="00F372CC">
            <w:pPr>
              <w:spacing w:after="0" w:line="240" w:lineRule="auto"/>
              <w:jc w:val="center"/>
              <w:rPr>
                <w:rFonts w:ascii="Times New Roman" w:eastAsia="Times New Roman" w:hAnsi="Times New Roman" w:cs="Times New Roman"/>
                <w:b/>
                <w:bCs/>
                <w:sz w:val="23"/>
                <w:szCs w:val="23"/>
                <w:lang w:eastAsia="en-IN"/>
              </w:rPr>
            </w:pPr>
            <w:r w:rsidRPr="00FC346C">
              <w:rPr>
                <w:rFonts w:ascii="Times New Roman" w:eastAsia="Times New Roman" w:hAnsi="Times New Roman" w:cs="Times New Roman"/>
                <w:b/>
                <w:bCs/>
                <w:sz w:val="23"/>
                <w:szCs w:val="23"/>
                <w:lang w:eastAsia="en-IN"/>
              </w:rPr>
              <w:t>FY</w:t>
            </w:r>
          </w:p>
        </w:tc>
        <w:tc>
          <w:tcPr>
            <w:tcW w:w="775" w:type="pct"/>
            <w:shd w:val="clear" w:color="auto" w:fill="E7E6E6" w:themeFill="background2"/>
            <w:noWrap/>
            <w:vAlign w:val="center"/>
            <w:hideMark/>
          </w:tcPr>
          <w:p w14:paraId="5F866FC6" w14:textId="77777777" w:rsidR="00F372CC" w:rsidRPr="00FC346C" w:rsidRDefault="00F372CC" w:rsidP="00F372CC">
            <w:pPr>
              <w:spacing w:after="0" w:line="240" w:lineRule="auto"/>
              <w:jc w:val="center"/>
              <w:rPr>
                <w:rFonts w:ascii="Times New Roman" w:eastAsia="Times New Roman" w:hAnsi="Times New Roman" w:cs="Times New Roman"/>
                <w:b/>
                <w:bCs/>
                <w:sz w:val="23"/>
                <w:szCs w:val="23"/>
                <w:lang w:eastAsia="en-IN"/>
              </w:rPr>
            </w:pPr>
            <w:r w:rsidRPr="00FC346C">
              <w:rPr>
                <w:rFonts w:ascii="Times New Roman" w:eastAsia="Times New Roman" w:hAnsi="Times New Roman" w:cs="Times New Roman"/>
                <w:b/>
                <w:bCs/>
                <w:sz w:val="23"/>
                <w:szCs w:val="23"/>
                <w:lang w:eastAsia="en-IN"/>
              </w:rPr>
              <w:t>Opening Date</w:t>
            </w:r>
          </w:p>
        </w:tc>
        <w:tc>
          <w:tcPr>
            <w:tcW w:w="762" w:type="pct"/>
            <w:shd w:val="clear" w:color="auto" w:fill="E7E6E6" w:themeFill="background2"/>
            <w:noWrap/>
            <w:vAlign w:val="center"/>
            <w:hideMark/>
          </w:tcPr>
          <w:p w14:paraId="437AF6F7" w14:textId="77777777" w:rsidR="00F372CC" w:rsidRPr="00FC346C" w:rsidRDefault="00F372CC" w:rsidP="00F372CC">
            <w:pPr>
              <w:spacing w:after="0" w:line="240" w:lineRule="auto"/>
              <w:jc w:val="center"/>
              <w:rPr>
                <w:rFonts w:ascii="Times New Roman" w:eastAsia="Times New Roman" w:hAnsi="Times New Roman" w:cs="Times New Roman"/>
                <w:b/>
                <w:bCs/>
                <w:sz w:val="23"/>
                <w:szCs w:val="23"/>
                <w:lang w:eastAsia="en-IN"/>
              </w:rPr>
            </w:pPr>
            <w:r w:rsidRPr="00FC346C">
              <w:rPr>
                <w:rFonts w:ascii="Times New Roman" w:eastAsia="Times New Roman" w:hAnsi="Times New Roman" w:cs="Times New Roman"/>
                <w:b/>
                <w:bCs/>
                <w:sz w:val="23"/>
                <w:szCs w:val="23"/>
                <w:lang w:eastAsia="en-IN"/>
              </w:rPr>
              <w:t>Sensex Points</w:t>
            </w:r>
          </w:p>
        </w:tc>
        <w:tc>
          <w:tcPr>
            <w:tcW w:w="725" w:type="pct"/>
            <w:shd w:val="clear" w:color="auto" w:fill="E7E6E6" w:themeFill="background2"/>
            <w:noWrap/>
            <w:vAlign w:val="center"/>
            <w:hideMark/>
          </w:tcPr>
          <w:p w14:paraId="5F613B1E" w14:textId="77777777" w:rsidR="00F372CC" w:rsidRPr="00FC346C" w:rsidRDefault="00F372CC" w:rsidP="00F372CC">
            <w:pPr>
              <w:spacing w:after="0" w:line="240" w:lineRule="auto"/>
              <w:jc w:val="center"/>
              <w:rPr>
                <w:rFonts w:ascii="Times New Roman" w:eastAsia="Times New Roman" w:hAnsi="Times New Roman" w:cs="Times New Roman"/>
                <w:b/>
                <w:bCs/>
                <w:sz w:val="23"/>
                <w:szCs w:val="23"/>
                <w:lang w:eastAsia="en-IN"/>
              </w:rPr>
            </w:pPr>
            <w:r w:rsidRPr="00FC346C">
              <w:rPr>
                <w:rFonts w:ascii="Times New Roman" w:eastAsia="Times New Roman" w:hAnsi="Times New Roman" w:cs="Times New Roman"/>
                <w:b/>
                <w:bCs/>
                <w:sz w:val="23"/>
                <w:szCs w:val="23"/>
                <w:lang w:eastAsia="en-IN"/>
              </w:rPr>
              <w:t>Closing Date</w:t>
            </w:r>
          </w:p>
        </w:tc>
        <w:tc>
          <w:tcPr>
            <w:tcW w:w="762" w:type="pct"/>
            <w:shd w:val="clear" w:color="auto" w:fill="E7E6E6" w:themeFill="background2"/>
            <w:noWrap/>
            <w:vAlign w:val="center"/>
            <w:hideMark/>
          </w:tcPr>
          <w:p w14:paraId="3025E27D" w14:textId="77777777" w:rsidR="00F372CC" w:rsidRPr="00FC346C" w:rsidRDefault="00F372CC" w:rsidP="00F372CC">
            <w:pPr>
              <w:spacing w:after="0" w:line="240" w:lineRule="auto"/>
              <w:jc w:val="center"/>
              <w:rPr>
                <w:rFonts w:ascii="Times New Roman" w:eastAsia="Times New Roman" w:hAnsi="Times New Roman" w:cs="Times New Roman"/>
                <w:b/>
                <w:bCs/>
                <w:sz w:val="23"/>
                <w:szCs w:val="23"/>
                <w:lang w:eastAsia="en-IN"/>
              </w:rPr>
            </w:pPr>
            <w:r w:rsidRPr="00FC346C">
              <w:rPr>
                <w:rFonts w:ascii="Times New Roman" w:eastAsia="Times New Roman" w:hAnsi="Times New Roman" w:cs="Times New Roman"/>
                <w:b/>
                <w:bCs/>
                <w:sz w:val="23"/>
                <w:szCs w:val="23"/>
                <w:lang w:eastAsia="en-IN"/>
              </w:rPr>
              <w:t>Sensex Points</w:t>
            </w:r>
          </w:p>
        </w:tc>
        <w:tc>
          <w:tcPr>
            <w:tcW w:w="1158" w:type="pct"/>
            <w:shd w:val="clear" w:color="auto" w:fill="E7E6E6" w:themeFill="background2"/>
            <w:noWrap/>
            <w:vAlign w:val="center"/>
            <w:hideMark/>
          </w:tcPr>
          <w:p w14:paraId="386EA12A" w14:textId="77777777" w:rsidR="00F372CC" w:rsidRPr="00FC346C" w:rsidRDefault="00F372CC" w:rsidP="00F372CC">
            <w:pPr>
              <w:spacing w:after="0" w:line="240" w:lineRule="auto"/>
              <w:jc w:val="center"/>
              <w:rPr>
                <w:rFonts w:ascii="Times New Roman" w:eastAsia="Times New Roman" w:hAnsi="Times New Roman" w:cs="Times New Roman"/>
                <w:b/>
                <w:bCs/>
                <w:sz w:val="23"/>
                <w:szCs w:val="23"/>
                <w:lang w:eastAsia="en-IN"/>
              </w:rPr>
            </w:pPr>
            <w:r w:rsidRPr="00FC346C">
              <w:rPr>
                <w:rFonts w:ascii="Times New Roman" w:eastAsia="Times New Roman" w:hAnsi="Times New Roman" w:cs="Times New Roman"/>
                <w:b/>
                <w:bCs/>
                <w:sz w:val="23"/>
                <w:szCs w:val="23"/>
                <w:lang w:eastAsia="en-IN"/>
              </w:rPr>
              <w:t>% Growth in the year</w:t>
            </w:r>
          </w:p>
        </w:tc>
      </w:tr>
      <w:tr w:rsidR="00F372CC" w:rsidRPr="00FC346C" w14:paraId="1BD889E3" w14:textId="77777777" w:rsidTr="00F372CC">
        <w:trPr>
          <w:trHeight w:val="282"/>
        </w:trPr>
        <w:tc>
          <w:tcPr>
            <w:tcW w:w="817" w:type="pct"/>
            <w:shd w:val="clear" w:color="auto" w:fill="auto"/>
            <w:noWrap/>
            <w:vAlign w:val="center"/>
            <w:hideMark/>
          </w:tcPr>
          <w:p w14:paraId="6128A2AD"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FY 1993</w:t>
            </w:r>
          </w:p>
        </w:tc>
        <w:tc>
          <w:tcPr>
            <w:tcW w:w="775" w:type="pct"/>
            <w:shd w:val="clear" w:color="auto" w:fill="auto"/>
            <w:noWrap/>
            <w:vAlign w:val="center"/>
            <w:hideMark/>
          </w:tcPr>
          <w:p w14:paraId="6EF5C1BA"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02-Apr-92</w:t>
            </w:r>
          </w:p>
        </w:tc>
        <w:tc>
          <w:tcPr>
            <w:tcW w:w="762" w:type="pct"/>
            <w:shd w:val="clear" w:color="auto" w:fill="auto"/>
            <w:noWrap/>
            <w:vAlign w:val="center"/>
            <w:hideMark/>
          </w:tcPr>
          <w:p w14:paraId="6515F893"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4547</w:t>
            </w:r>
          </w:p>
        </w:tc>
        <w:tc>
          <w:tcPr>
            <w:tcW w:w="725" w:type="pct"/>
            <w:shd w:val="clear" w:color="auto" w:fill="auto"/>
            <w:noWrap/>
            <w:vAlign w:val="center"/>
            <w:hideMark/>
          </w:tcPr>
          <w:p w14:paraId="16EE10EC"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31-Mar-93</w:t>
            </w:r>
          </w:p>
        </w:tc>
        <w:tc>
          <w:tcPr>
            <w:tcW w:w="762" w:type="pct"/>
            <w:shd w:val="clear" w:color="auto" w:fill="auto"/>
            <w:noWrap/>
            <w:vAlign w:val="center"/>
            <w:hideMark/>
          </w:tcPr>
          <w:p w14:paraId="460BE854"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2281</w:t>
            </w:r>
          </w:p>
        </w:tc>
        <w:tc>
          <w:tcPr>
            <w:tcW w:w="1158" w:type="pct"/>
            <w:shd w:val="clear" w:color="auto" w:fill="auto"/>
            <w:noWrap/>
            <w:vAlign w:val="center"/>
            <w:hideMark/>
          </w:tcPr>
          <w:p w14:paraId="51DCBA01"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-49.84%</w:t>
            </w:r>
          </w:p>
        </w:tc>
      </w:tr>
      <w:tr w:rsidR="00F372CC" w:rsidRPr="00FC346C" w14:paraId="5A063D35" w14:textId="77777777" w:rsidTr="00F372CC">
        <w:trPr>
          <w:trHeight w:val="282"/>
        </w:trPr>
        <w:tc>
          <w:tcPr>
            <w:tcW w:w="817" w:type="pct"/>
            <w:shd w:val="clear" w:color="auto" w:fill="auto"/>
            <w:noWrap/>
            <w:vAlign w:val="center"/>
            <w:hideMark/>
          </w:tcPr>
          <w:p w14:paraId="5D2E94EB"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FY 1994</w:t>
            </w:r>
          </w:p>
        </w:tc>
        <w:tc>
          <w:tcPr>
            <w:tcW w:w="775" w:type="pct"/>
            <w:shd w:val="clear" w:color="auto" w:fill="auto"/>
            <w:noWrap/>
            <w:vAlign w:val="center"/>
            <w:hideMark/>
          </w:tcPr>
          <w:p w14:paraId="5F13D1D6"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02-Apr-93</w:t>
            </w:r>
          </w:p>
        </w:tc>
        <w:tc>
          <w:tcPr>
            <w:tcW w:w="762" w:type="pct"/>
            <w:shd w:val="clear" w:color="auto" w:fill="auto"/>
            <w:noWrap/>
            <w:vAlign w:val="center"/>
            <w:hideMark/>
          </w:tcPr>
          <w:p w14:paraId="1665F01D"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2294</w:t>
            </w:r>
          </w:p>
        </w:tc>
        <w:tc>
          <w:tcPr>
            <w:tcW w:w="725" w:type="pct"/>
            <w:shd w:val="clear" w:color="auto" w:fill="auto"/>
            <w:noWrap/>
            <w:vAlign w:val="center"/>
            <w:hideMark/>
          </w:tcPr>
          <w:p w14:paraId="5FB93531"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31-Mar-94</w:t>
            </w:r>
          </w:p>
        </w:tc>
        <w:tc>
          <w:tcPr>
            <w:tcW w:w="762" w:type="pct"/>
            <w:shd w:val="clear" w:color="auto" w:fill="auto"/>
            <w:noWrap/>
            <w:vAlign w:val="center"/>
            <w:hideMark/>
          </w:tcPr>
          <w:p w14:paraId="5F3A7C87"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3779</w:t>
            </w:r>
          </w:p>
        </w:tc>
        <w:tc>
          <w:tcPr>
            <w:tcW w:w="1158" w:type="pct"/>
            <w:shd w:val="clear" w:color="auto" w:fill="auto"/>
            <w:noWrap/>
            <w:vAlign w:val="center"/>
            <w:hideMark/>
          </w:tcPr>
          <w:p w14:paraId="61C83E2D"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64.70%</w:t>
            </w:r>
          </w:p>
        </w:tc>
      </w:tr>
      <w:tr w:rsidR="00F372CC" w:rsidRPr="00FC346C" w14:paraId="4B1B1D95" w14:textId="77777777" w:rsidTr="00F372CC">
        <w:trPr>
          <w:trHeight w:val="282"/>
        </w:trPr>
        <w:tc>
          <w:tcPr>
            <w:tcW w:w="817" w:type="pct"/>
            <w:shd w:val="clear" w:color="auto" w:fill="auto"/>
            <w:noWrap/>
            <w:vAlign w:val="center"/>
            <w:hideMark/>
          </w:tcPr>
          <w:p w14:paraId="3C66F392"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FY 1995</w:t>
            </w:r>
          </w:p>
        </w:tc>
        <w:tc>
          <w:tcPr>
            <w:tcW w:w="775" w:type="pct"/>
            <w:shd w:val="clear" w:color="auto" w:fill="auto"/>
            <w:noWrap/>
            <w:vAlign w:val="center"/>
            <w:hideMark/>
          </w:tcPr>
          <w:p w14:paraId="549AEF4C"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04-Apr-94</w:t>
            </w:r>
          </w:p>
        </w:tc>
        <w:tc>
          <w:tcPr>
            <w:tcW w:w="762" w:type="pct"/>
            <w:shd w:val="clear" w:color="auto" w:fill="auto"/>
            <w:noWrap/>
            <w:vAlign w:val="center"/>
            <w:hideMark/>
          </w:tcPr>
          <w:p w14:paraId="56DB067B"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3767</w:t>
            </w:r>
          </w:p>
        </w:tc>
        <w:tc>
          <w:tcPr>
            <w:tcW w:w="725" w:type="pct"/>
            <w:shd w:val="clear" w:color="auto" w:fill="auto"/>
            <w:noWrap/>
            <w:vAlign w:val="center"/>
            <w:hideMark/>
          </w:tcPr>
          <w:p w14:paraId="2B948EA7"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31-Mar-95</w:t>
            </w:r>
          </w:p>
        </w:tc>
        <w:tc>
          <w:tcPr>
            <w:tcW w:w="762" w:type="pct"/>
            <w:shd w:val="clear" w:color="auto" w:fill="auto"/>
            <w:noWrap/>
            <w:vAlign w:val="center"/>
            <w:hideMark/>
          </w:tcPr>
          <w:p w14:paraId="7D315AB5"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3261</w:t>
            </w:r>
          </w:p>
        </w:tc>
        <w:tc>
          <w:tcPr>
            <w:tcW w:w="1158" w:type="pct"/>
            <w:shd w:val="clear" w:color="auto" w:fill="auto"/>
            <w:noWrap/>
            <w:vAlign w:val="center"/>
            <w:hideMark/>
          </w:tcPr>
          <w:p w14:paraId="6971BAE0"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-13.43%</w:t>
            </w:r>
          </w:p>
        </w:tc>
      </w:tr>
      <w:tr w:rsidR="00F372CC" w:rsidRPr="00FC346C" w14:paraId="6C3EBAC5" w14:textId="77777777" w:rsidTr="00F372CC">
        <w:trPr>
          <w:trHeight w:val="282"/>
        </w:trPr>
        <w:tc>
          <w:tcPr>
            <w:tcW w:w="817" w:type="pct"/>
            <w:shd w:val="clear" w:color="auto" w:fill="auto"/>
            <w:noWrap/>
            <w:vAlign w:val="center"/>
            <w:hideMark/>
          </w:tcPr>
          <w:p w14:paraId="6A4AC0C8"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FY 1996</w:t>
            </w:r>
          </w:p>
        </w:tc>
        <w:tc>
          <w:tcPr>
            <w:tcW w:w="775" w:type="pct"/>
            <w:shd w:val="clear" w:color="auto" w:fill="auto"/>
            <w:noWrap/>
            <w:vAlign w:val="center"/>
            <w:hideMark/>
          </w:tcPr>
          <w:p w14:paraId="50D2A8D3"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03-Apr-95</w:t>
            </w:r>
          </w:p>
        </w:tc>
        <w:tc>
          <w:tcPr>
            <w:tcW w:w="762" w:type="pct"/>
            <w:shd w:val="clear" w:color="auto" w:fill="auto"/>
            <w:noWrap/>
            <w:vAlign w:val="center"/>
            <w:hideMark/>
          </w:tcPr>
          <w:p w14:paraId="3CA37D45"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3288</w:t>
            </w:r>
          </w:p>
        </w:tc>
        <w:tc>
          <w:tcPr>
            <w:tcW w:w="725" w:type="pct"/>
            <w:shd w:val="clear" w:color="auto" w:fill="auto"/>
            <w:noWrap/>
            <w:vAlign w:val="center"/>
            <w:hideMark/>
          </w:tcPr>
          <w:p w14:paraId="67099901"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29-Mar-96</w:t>
            </w:r>
          </w:p>
        </w:tc>
        <w:tc>
          <w:tcPr>
            <w:tcW w:w="762" w:type="pct"/>
            <w:shd w:val="clear" w:color="auto" w:fill="auto"/>
            <w:noWrap/>
            <w:vAlign w:val="center"/>
            <w:hideMark/>
          </w:tcPr>
          <w:p w14:paraId="763FAC81"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3367</w:t>
            </w:r>
          </w:p>
        </w:tc>
        <w:tc>
          <w:tcPr>
            <w:tcW w:w="1158" w:type="pct"/>
            <w:shd w:val="clear" w:color="auto" w:fill="auto"/>
            <w:noWrap/>
            <w:vAlign w:val="center"/>
            <w:hideMark/>
          </w:tcPr>
          <w:p w14:paraId="03C9B559"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2.40%</w:t>
            </w:r>
          </w:p>
        </w:tc>
      </w:tr>
      <w:tr w:rsidR="00F372CC" w:rsidRPr="00FC346C" w14:paraId="6B1223D7" w14:textId="77777777" w:rsidTr="00F372CC">
        <w:trPr>
          <w:trHeight w:val="282"/>
        </w:trPr>
        <w:tc>
          <w:tcPr>
            <w:tcW w:w="817" w:type="pct"/>
            <w:shd w:val="clear" w:color="auto" w:fill="auto"/>
            <w:noWrap/>
            <w:vAlign w:val="center"/>
            <w:hideMark/>
          </w:tcPr>
          <w:p w14:paraId="3D90148C"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FY 1997</w:t>
            </w:r>
          </w:p>
        </w:tc>
        <w:tc>
          <w:tcPr>
            <w:tcW w:w="775" w:type="pct"/>
            <w:shd w:val="clear" w:color="auto" w:fill="auto"/>
            <w:noWrap/>
            <w:vAlign w:val="center"/>
            <w:hideMark/>
          </w:tcPr>
          <w:p w14:paraId="5B7117CC"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02-Apr-96</w:t>
            </w:r>
          </w:p>
        </w:tc>
        <w:tc>
          <w:tcPr>
            <w:tcW w:w="762" w:type="pct"/>
            <w:shd w:val="clear" w:color="auto" w:fill="auto"/>
            <w:noWrap/>
            <w:vAlign w:val="center"/>
            <w:hideMark/>
          </w:tcPr>
          <w:p w14:paraId="1CAADE41"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3377</w:t>
            </w:r>
          </w:p>
        </w:tc>
        <w:tc>
          <w:tcPr>
            <w:tcW w:w="725" w:type="pct"/>
            <w:shd w:val="clear" w:color="auto" w:fill="auto"/>
            <w:noWrap/>
            <w:vAlign w:val="center"/>
            <w:hideMark/>
          </w:tcPr>
          <w:p w14:paraId="621D21BA"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31-Mar-97</w:t>
            </w:r>
          </w:p>
        </w:tc>
        <w:tc>
          <w:tcPr>
            <w:tcW w:w="762" w:type="pct"/>
            <w:shd w:val="clear" w:color="auto" w:fill="auto"/>
            <w:noWrap/>
            <w:vAlign w:val="center"/>
            <w:hideMark/>
          </w:tcPr>
          <w:p w14:paraId="12A3CCAB"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3361</w:t>
            </w:r>
          </w:p>
        </w:tc>
        <w:tc>
          <w:tcPr>
            <w:tcW w:w="1158" w:type="pct"/>
            <w:shd w:val="clear" w:color="auto" w:fill="auto"/>
            <w:noWrap/>
            <w:vAlign w:val="center"/>
            <w:hideMark/>
          </w:tcPr>
          <w:p w14:paraId="30EF6568"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-0.47%</w:t>
            </w:r>
          </w:p>
        </w:tc>
      </w:tr>
      <w:tr w:rsidR="00F372CC" w:rsidRPr="00FC346C" w14:paraId="534CA3F0" w14:textId="77777777" w:rsidTr="00F372CC">
        <w:trPr>
          <w:trHeight w:val="282"/>
        </w:trPr>
        <w:tc>
          <w:tcPr>
            <w:tcW w:w="817" w:type="pct"/>
            <w:shd w:val="clear" w:color="auto" w:fill="auto"/>
            <w:noWrap/>
            <w:vAlign w:val="center"/>
            <w:hideMark/>
          </w:tcPr>
          <w:p w14:paraId="31F5DFE0"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FY 1998</w:t>
            </w:r>
          </w:p>
        </w:tc>
        <w:tc>
          <w:tcPr>
            <w:tcW w:w="775" w:type="pct"/>
            <w:shd w:val="clear" w:color="auto" w:fill="auto"/>
            <w:noWrap/>
            <w:vAlign w:val="center"/>
            <w:hideMark/>
          </w:tcPr>
          <w:p w14:paraId="409A5616"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01-Apr-97</w:t>
            </w:r>
          </w:p>
        </w:tc>
        <w:tc>
          <w:tcPr>
            <w:tcW w:w="762" w:type="pct"/>
            <w:shd w:val="clear" w:color="auto" w:fill="auto"/>
            <w:noWrap/>
            <w:vAlign w:val="center"/>
            <w:hideMark/>
          </w:tcPr>
          <w:p w14:paraId="7BE56F4B"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3339</w:t>
            </w:r>
          </w:p>
        </w:tc>
        <w:tc>
          <w:tcPr>
            <w:tcW w:w="725" w:type="pct"/>
            <w:shd w:val="clear" w:color="auto" w:fill="auto"/>
            <w:noWrap/>
            <w:vAlign w:val="center"/>
            <w:hideMark/>
          </w:tcPr>
          <w:p w14:paraId="2BEB8044"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31-Mar-98</w:t>
            </w:r>
          </w:p>
        </w:tc>
        <w:tc>
          <w:tcPr>
            <w:tcW w:w="762" w:type="pct"/>
            <w:shd w:val="clear" w:color="auto" w:fill="auto"/>
            <w:noWrap/>
            <w:vAlign w:val="center"/>
            <w:hideMark/>
          </w:tcPr>
          <w:p w14:paraId="04A47976"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3893</w:t>
            </w:r>
          </w:p>
        </w:tc>
        <w:tc>
          <w:tcPr>
            <w:tcW w:w="1158" w:type="pct"/>
            <w:shd w:val="clear" w:color="auto" w:fill="auto"/>
            <w:noWrap/>
            <w:vAlign w:val="center"/>
            <w:hideMark/>
          </w:tcPr>
          <w:p w14:paraId="34D465A8"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16.57%</w:t>
            </w:r>
          </w:p>
        </w:tc>
      </w:tr>
      <w:tr w:rsidR="00F372CC" w:rsidRPr="00FC346C" w14:paraId="7278AFE9" w14:textId="77777777" w:rsidTr="00F372CC">
        <w:trPr>
          <w:trHeight w:val="282"/>
        </w:trPr>
        <w:tc>
          <w:tcPr>
            <w:tcW w:w="817" w:type="pct"/>
            <w:shd w:val="clear" w:color="auto" w:fill="auto"/>
            <w:noWrap/>
            <w:vAlign w:val="center"/>
            <w:hideMark/>
          </w:tcPr>
          <w:p w14:paraId="3E3A1A16"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FY 1999</w:t>
            </w:r>
          </w:p>
        </w:tc>
        <w:tc>
          <w:tcPr>
            <w:tcW w:w="775" w:type="pct"/>
            <w:shd w:val="clear" w:color="auto" w:fill="auto"/>
            <w:noWrap/>
            <w:vAlign w:val="center"/>
            <w:hideMark/>
          </w:tcPr>
          <w:p w14:paraId="5607870C"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01-Apr-98</w:t>
            </w:r>
          </w:p>
        </w:tc>
        <w:tc>
          <w:tcPr>
            <w:tcW w:w="762" w:type="pct"/>
            <w:shd w:val="clear" w:color="auto" w:fill="auto"/>
            <w:noWrap/>
            <w:vAlign w:val="center"/>
            <w:hideMark/>
          </w:tcPr>
          <w:p w14:paraId="79D4B504"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3901</w:t>
            </w:r>
          </w:p>
        </w:tc>
        <w:tc>
          <w:tcPr>
            <w:tcW w:w="725" w:type="pct"/>
            <w:shd w:val="clear" w:color="auto" w:fill="auto"/>
            <w:noWrap/>
            <w:vAlign w:val="center"/>
            <w:hideMark/>
          </w:tcPr>
          <w:p w14:paraId="70315C9A"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31-Mar-99</w:t>
            </w:r>
          </w:p>
        </w:tc>
        <w:tc>
          <w:tcPr>
            <w:tcW w:w="762" w:type="pct"/>
            <w:shd w:val="clear" w:color="auto" w:fill="auto"/>
            <w:noWrap/>
            <w:vAlign w:val="center"/>
            <w:hideMark/>
          </w:tcPr>
          <w:p w14:paraId="30BA6D6B"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3740</w:t>
            </w:r>
          </w:p>
        </w:tc>
        <w:tc>
          <w:tcPr>
            <w:tcW w:w="1158" w:type="pct"/>
            <w:shd w:val="clear" w:color="auto" w:fill="auto"/>
            <w:noWrap/>
            <w:vAlign w:val="center"/>
            <w:hideMark/>
          </w:tcPr>
          <w:p w14:paraId="7B0463E1"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-4.14%</w:t>
            </w:r>
          </w:p>
        </w:tc>
      </w:tr>
      <w:tr w:rsidR="00F372CC" w:rsidRPr="00FC346C" w14:paraId="28F76961" w14:textId="77777777" w:rsidTr="00F372CC">
        <w:trPr>
          <w:trHeight w:val="282"/>
        </w:trPr>
        <w:tc>
          <w:tcPr>
            <w:tcW w:w="817" w:type="pct"/>
            <w:shd w:val="clear" w:color="auto" w:fill="auto"/>
            <w:noWrap/>
            <w:vAlign w:val="center"/>
            <w:hideMark/>
          </w:tcPr>
          <w:p w14:paraId="1B01838B"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FY 2000</w:t>
            </w:r>
          </w:p>
        </w:tc>
        <w:tc>
          <w:tcPr>
            <w:tcW w:w="775" w:type="pct"/>
            <w:shd w:val="clear" w:color="auto" w:fill="auto"/>
            <w:noWrap/>
            <w:vAlign w:val="center"/>
            <w:hideMark/>
          </w:tcPr>
          <w:p w14:paraId="242035C1"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01-Apr-99</w:t>
            </w:r>
          </w:p>
        </w:tc>
        <w:tc>
          <w:tcPr>
            <w:tcW w:w="762" w:type="pct"/>
            <w:shd w:val="clear" w:color="auto" w:fill="auto"/>
            <w:noWrap/>
            <w:vAlign w:val="center"/>
            <w:hideMark/>
          </w:tcPr>
          <w:p w14:paraId="02BAE0D1"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3750</w:t>
            </w:r>
          </w:p>
        </w:tc>
        <w:tc>
          <w:tcPr>
            <w:tcW w:w="725" w:type="pct"/>
            <w:shd w:val="clear" w:color="auto" w:fill="auto"/>
            <w:noWrap/>
            <w:vAlign w:val="center"/>
            <w:hideMark/>
          </w:tcPr>
          <w:p w14:paraId="564F7223"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31-Mar-00</w:t>
            </w:r>
          </w:p>
        </w:tc>
        <w:tc>
          <w:tcPr>
            <w:tcW w:w="762" w:type="pct"/>
            <w:shd w:val="clear" w:color="auto" w:fill="auto"/>
            <w:noWrap/>
            <w:vAlign w:val="center"/>
            <w:hideMark/>
          </w:tcPr>
          <w:p w14:paraId="40DA9C1B"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5001</w:t>
            </w:r>
          </w:p>
        </w:tc>
        <w:tc>
          <w:tcPr>
            <w:tcW w:w="1158" w:type="pct"/>
            <w:shd w:val="clear" w:color="auto" w:fill="auto"/>
            <w:noWrap/>
            <w:vAlign w:val="center"/>
            <w:hideMark/>
          </w:tcPr>
          <w:p w14:paraId="1DA39E2A"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33.36%</w:t>
            </w:r>
          </w:p>
        </w:tc>
      </w:tr>
      <w:tr w:rsidR="00F372CC" w:rsidRPr="00FC346C" w14:paraId="361D5610" w14:textId="77777777" w:rsidTr="00F372CC">
        <w:trPr>
          <w:trHeight w:val="282"/>
        </w:trPr>
        <w:tc>
          <w:tcPr>
            <w:tcW w:w="817" w:type="pct"/>
            <w:shd w:val="clear" w:color="auto" w:fill="auto"/>
            <w:noWrap/>
            <w:vAlign w:val="center"/>
            <w:hideMark/>
          </w:tcPr>
          <w:p w14:paraId="369289F4"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FY 2001</w:t>
            </w:r>
          </w:p>
        </w:tc>
        <w:tc>
          <w:tcPr>
            <w:tcW w:w="775" w:type="pct"/>
            <w:shd w:val="clear" w:color="auto" w:fill="auto"/>
            <w:noWrap/>
            <w:vAlign w:val="center"/>
            <w:hideMark/>
          </w:tcPr>
          <w:p w14:paraId="2EC315B5"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03-Apr-00</w:t>
            </w:r>
          </w:p>
        </w:tc>
        <w:tc>
          <w:tcPr>
            <w:tcW w:w="762" w:type="pct"/>
            <w:shd w:val="clear" w:color="auto" w:fill="auto"/>
            <w:noWrap/>
            <w:vAlign w:val="center"/>
            <w:hideMark/>
          </w:tcPr>
          <w:p w14:paraId="0D247FD9"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5071</w:t>
            </w:r>
          </w:p>
        </w:tc>
        <w:tc>
          <w:tcPr>
            <w:tcW w:w="725" w:type="pct"/>
            <w:shd w:val="clear" w:color="auto" w:fill="auto"/>
            <w:noWrap/>
            <w:vAlign w:val="center"/>
            <w:hideMark/>
          </w:tcPr>
          <w:p w14:paraId="4C49590F"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30-Mar-01</w:t>
            </w:r>
          </w:p>
        </w:tc>
        <w:tc>
          <w:tcPr>
            <w:tcW w:w="762" w:type="pct"/>
            <w:shd w:val="clear" w:color="auto" w:fill="auto"/>
            <w:noWrap/>
            <w:vAlign w:val="center"/>
            <w:hideMark/>
          </w:tcPr>
          <w:p w14:paraId="34EA7B40"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3604</w:t>
            </w:r>
          </w:p>
        </w:tc>
        <w:tc>
          <w:tcPr>
            <w:tcW w:w="1158" w:type="pct"/>
            <w:shd w:val="clear" w:color="auto" w:fill="auto"/>
            <w:noWrap/>
            <w:vAlign w:val="center"/>
            <w:hideMark/>
          </w:tcPr>
          <w:p w14:paraId="2287282F"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-28.91%</w:t>
            </w:r>
          </w:p>
        </w:tc>
      </w:tr>
      <w:tr w:rsidR="00F372CC" w:rsidRPr="00FC346C" w14:paraId="63959D41" w14:textId="77777777" w:rsidTr="00F372CC">
        <w:trPr>
          <w:trHeight w:val="282"/>
        </w:trPr>
        <w:tc>
          <w:tcPr>
            <w:tcW w:w="817" w:type="pct"/>
            <w:shd w:val="clear" w:color="auto" w:fill="auto"/>
            <w:noWrap/>
            <w:vAlign w:val="center"/>
            <w:hideMark/>
          </w:tcPr>
          <w:p w14:paraId="1E7B6620"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FY 2002</w:t>
            </w:r>
          </w:p>
        </w:tc>
        <w:tc>
          <w:tcPr>
            <w:tcW w:w="775" w:type="pct"/>
            <w:shd w:val="clear" w:color="auto" w:fill="auto"/>
            <w:noWrap/>
            <w:vAlign w:val="center"/>
            <w:hideMark/>
          </w:tcPr>
          <w:p w14:paraId="7F09A9F2"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02-Apr-01</w:t>
            </w:r>
          </w:p>
        </w:tc>
        <w:tc>
          <w:tcPr>
            <w:tcW w:w="762" w:type="pct"/>
            <w:shd w:val="clear" w:color="auto" w:fill="auto"/>
            <w:noWrap/>
            <w:vAlign w:val="center"/>
            <w:hideMark/>
          </w:tcPr>
          <w:p w14:paraId="30C99E54"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3491</w:t>
            </w:r>
          </w:p>
        </w:tc>
        <w:tc>
          <w:tcPr>
            <w:tcW w:w="725" w:type="pct"/>
            <w:shd w:val="clear" w:color="auto" w:fill="auto"/>
            <w:noWrap/>
            <w:vAlign w:val="center"/>
            <w:hideMark/>
          </w:tcPr>
          <w:p w14:paraId="41CBC845"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28-Mar-02</w:t>
            </w:r>
          </w:p>
        </w:tc>
        <w:tc>
          <w:tcPr>
            <w:tcW w:w="762" w:type="pct"/>
            <w:shd w:val="clear" w:color="auto" w:fill="auto"/>
            <w:noWrap/>
            <w:vAlign w:val="center"/>
            <w:hideMark/>
          </w:tcPr>
          <w:p w14:paraId="41CECB0B"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3469</w:t>
            </w:r>
          </w:p>
        </w:tc>
        <w:tc>
          <w:tcPr>
            <w:tcW w:w="1158" w:type="pct"/>
            <w:shd w:val="clear" w:color="auto" w:fill="auto"/>
            <w:noWrap/>
            <w:vAlign w:val="center"/>
            <w:hideMark/>
          </w:tcPr>
          <w:p w14:paraId="355045E1"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-0.63%</w:t>
            </w:r>
          </w:p>
        </w:tc>
      </w:tr>
      <w:tr w:rsidR="00F372CC" w:rsidRPr="00FC346C" w14:paraId="6C4AE8BE" w14:textId="77777777" w:rsidTr="00F372CC">
        <w:trPr>
          <w:trHeight w:val="282"/>
        </w:trPr>
        <w:tc>
          <w:tcPr>
            <w:tcW w:w="817" w:type="pct"/>
            <w:shd w:val="clear" w:color="auto" w:fill="auto"/>
            <w:noWrap/>
            <w:vAlign w:val="center"/>
            <w:hideMark/>
          </w:tcPr>
          <w:p w14:paraId="7DBEC29E"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FY 2003</w:t>
            </w:r>
          </w:p>
        </w:tc>
        <w:tc>
          <w:tcPr>
            <w:tcW w:w="775" w:type="pct"/>
            <w:shd w:val="clear" w:color="auto" w:fill="auto"/>
            <w:noWrap/>
            <w:vAlign w:val="center"/>
            <w:hideMark/>
          </w:tcPr>
          <w:p w14:paraId="1A3D18D8"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01-Apr-02</w:t>
            </w:r>
          </w:p>
        </w:tc>
        <w:tc>
          <w:tcPr>
            <w:tcW w:w="762" w:type="pct"/>
            <w:shd w:val="clear" w:color="auto" w:fill="auto"/>
            <w:noWrap/>
            <w:vAlign w:val="center"/>
            <w:hideMark/>
          </w:tcPr>
          <w:p w14:paraId="34EECA3F"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3483</w:t>
            </w:r>
          </w:p>
        </w:tc>
        <w:tc>
          <w:tcPr>
            <w:tcW w:w="725" w:type="pct"/>
            <w:shd w:val="clear" w:color="auto" w:fill="auto"/>
            <w:noWrap/>
            <w:vAlign w:val="center"/>
            <w:hideMark/>
          </w:tcPr>
          <w:p w14:paraId="47D19A12"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31-Mar-03</w:t>
            </w:r>
          </w:p>
        </w:tc>
        <w:tc>
          <w:tcPr>
            <w:tcW w:w="762" w:type="pct"/>
            <w:shd w:val="clear" w:color="auto" w:fill="auto"/>
            <w:noWrap/>
            <w:vAlign w:val="center"/>
            <w:hideMark/>
          </w:tcPr>
          <w:p w14:paraId="4F106D72"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3049</w:t>
            </w:r>
          </w:p>
        </w:tc>
        <w:tc>
          <w:tcPr>
            <w:tcW w:w="1158" w:type="pct"/>
            <w:shd w:val="clear" w:color="auto" w:fill="auto"/>
            <w:noWrap/>
            <w:vAlign w:val="center"/>
            <w:hideMark/>
          </w:tcPr>
          <w:p w14:paraId="44437E23"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-12.47%</w:t>
            </w:r>
          </w:p>
        </w:tc>
      </w:tr>
      <w:tr w:rsidR="00F372CC" w:rsidRPr="00FC346C" w14:paraId="4CE2A469" w14:textId="77777777" w:rsidTr="00F372CC">
        <w:trPr>
          <w:trHeight w:val="282"/>
        </w:trPr>
        <w:tc>
          <w:tcPr>
            <w:tcW w:w="817" w:type="pct"/>
            <w:shd w:val="clear" w:color="auto" w:fill="auto"/>
            <w:noWrap/>
            <w:vAlign w:val="center"/>
            <w:hideMark/>
          </w:tcPr>
          <w:p w14:paraId="10CFADAC"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FY 2004</w:t>
            </w:r>
          </w:p>
        </w:tc>
        <w:tc>
          <w:tcPr>
            <w:tcW w:w="775" w:type="pct"/>
            <w:shd w:val="clear" w:color="auto" w:fill="auto"/>
            <w:noWrap/>
            <w:vAlign w:val="center"/>
            <w:hideMark/>
          </w:tcPr>
          <w:p w14:paraId="0A4661A6"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01-Apr-03</w:t>
            </w:r>
          </w:p>
        </w:tc>
        <w:tc>
          <w:tcPr>
            <w:tcW w:w="762" w:type="pct"/>
            <w:shd w:val="clear" w:color="auto" w:fill="auto"/>
            <w:noWrap/>
            <w:vAlign w:val="center"/>
            <w:hideMark/>
          </w:tcPr>
          <w:p w14:paraId="491CDFB1"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3038</w:t>
            </w:r>
          </w:p>
        </w:tc>
        <w:tc>
          <w:tcPr>
            <w:tcW w:w="725" w:type="pct"/>
            <w:shd w:val="clear" w:color="auto" w:fill="auto"/>
            <w:noWrap/>
            <w:vAlign w:val="center"/>
            <w:hideMark/>
          </w:tcPr>
          <w:p w14:paraId="73BE6097"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31-Mar-04</w:t>
            </w:r>
          </w:p>
        </w:tc>
        <w:tc>
          <w:tcPr>
            <w:tcW w:w="762" w:type="pct"/>
            <w:shd w:val="clear" w:color="auto" w:fill="auto"/>
            <w:noWrap/>
            <w:vAlign w:val="center"/>
            <w:hideMark/>
          </w:tcPr>
          <w:p w14:paraId="698C7225"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5591</w:t>
            </w:r>
          </w:p>
        </w:tc>
        <w:tc>
          <w:tcPr>
            <w:tcW w:w="1158" w:type="pct"/>
            <w:shd w:val="clear" w:color="auto" w:fill="auto"/>
            <w:noWrap/>
            <w:vAlign w:val="center"/>
            <w:hideMark/>
          </w:tcPr>
          <w:p w14:paraId="4C03E7DB"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84.05%</w:t>
            </w:r>
          </w:p>
        </w:tc>
      </w:tr>
      <w:tr w:rsidR="00F372CC" w:rsidRPr="00FC346C" w14:paraId="75D5C6C3" w14:textId="77777777" w:rsidTr="00F372CC">
        <w:trPr>
          <w:trHeight w:val="282"/>
        </w:trPr>
        <w:tc>
          <w:tcPr>
            <w:tcW w:w="817" w:type="pct"/>
            <w:shd w:val="clear" w:color="auto" w:fill="auto"/>
            <w:noWrap/>
            <w:vAlign w:val="center"/>
            <w:hideMark/>
          </w:tcPr>
          <w:p w14:paraId="2DCA208B"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FY 2005</w:t>
            </w:r>
          </w:p>
        </w:tc>
        <w:tc>
          <w:tcPr>
            <w:tcW w:w="775" w:type="pct"/>
            <w:shd w:val="clear" w:color="auto" w:fill="auto"/>
            <w:noWrap/>
            <w:vAlign w:val="center"/>
            <w:hideMark/>
          </w:tcPr>
          <w:p w14:paraId="3E4F4A84"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01-Apr-04</w:t>
            </w:r>
          </w:p>
        </w:tc>
        <w:tc>
          <w:tcPr>
            <w:tcW w:w="762" w:type="pct"/>
            <w:shd w:val="clear" w:color="auto" w:fill="auto"/>
            <w:noWrap/>
            <w:vAlign w:val="center"/>
            <w:hideMark/>
          </w:tcPr>
          <w:p w14:paraId="02EA7184"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5599</w:t>
            </w:r>
          </w:p>
        </w:tc>
        <w:tc>
          <w:tcPr>
            <w:tcW w:w="725" w:type="pct"/>
            <w:shd w:val="clear" w:color="auto" w:fill="auto"/>
            <w:noWrap/>
            <w:vAlign w:val="center"/>
            <w:hideMark/>
          </w:tcPr>
          <w:p w14:paraId="771173F8"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31-Mar-05</w:t>
            </w:r>
          </w:p>
        </w:tc>
        <w:tc>
          <w:tcPr>
            <w:tcW w:w="762" w:type="pct"/>
            <w:shd w:val="clear" w:color="auto" w:fill="auto"/>
            <w:noWrap/>
            <w:vAlign w:val="center"/>
            <w:hideMark/>
          </w:tcPr>
          <w:p w14:paraId="739AF8F0"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6493</w:t>
            </w:r>
          </w:p>
        </w:tc>
        <w:tc>
          <w:tcPr>
            <w:tcW w:w="1158" w:type="pct"/>
            <w:shd w:val="clear" w:color="auto" w:fill="auto"/>
            <w:noWrap/>
            <w:vAlign w:val="center"/>
            <w:hideMark/>
          </w:tcPr>
          <w:p w14:paraId="1B4D0C18"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15.96%</w:t>
            </w:r>
          </w:p>
        </w:tc>
      </w:tr>
      <w:tr w:rsidR="00F372CC" w:rsidRPr="00FC346C" w14:paraId="402685F2" w14:textId="77777777" w:rsidTr="00F372CC">
        <w:trPr>
          <w:trHeight w:val="282"/>
        </w:trPr>
        <w:tc>
          <w:tcPr>
            <w:tcW w:w="817" w:type="pct"/>
            <w:shd w:val="clear" w:color="auto" w:fill="auto"/>
            <w:noWrap/>
            <w:vAlign w:val="center"/>
            <w:hideMark/>
          </w:tcPr>
          <w:p w14:paraId="25372313"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FY 2006</w:t>
            </w:r>
          </w:p>
        </w:tc>
        <w:tc>
          <w:tcPr>
            <w:tcW w:w="775" w:type="pct"/>
            <w:shd w:val="clear" w:color="auto" w:fill="auto"/>
            <w:noWrap/>
            <w:vAlign w:val="center"/>
            <w:hideMark/>
          </w:tcPr>
          <w:p w14:paraId="4F4949AC"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01-Apr-05</w:t>
            </w:r>
          </w:p>
        </w:tc>
        <w:tc>
          <w:tcPr>
            <w:tcW w:w="762" w:type="pct"/>
            <w:shd w:val="clear" w:color="auto" w:fill="auto"/>
            <w:noWrap/>
            <w:vAlign w:val="center"/>
            <w:hideMark/>
          </w:tcPr>
          <w:p w14:paraId="499C270C"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6507</w:t>
            </w:r>
          </w:p>
        </w:tc>
        <w:tc>
          <w:tcPr>
            <w:tcW w:w="725" w:type="pct"/>
            <w:shd w:val="clear" w:color="auto" w:fill="auto"/>
            <w:noWrap/>
            <w:vAlign w:val="center"/>
            <w:hideMark/>
          </w:tcPr>
          <w:p w14:paraId="0692CFDB"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31-Mar-06</w:t>
            </w:r>
          </w:p>
        </w:tc>
        <w:tc>
          <w:tcPr>
            <w:tcW w:w="762" w:type="pct"/>
            <w:shd w:val="clear" w:color="auto" w:fill="auto"/>
            <w:noWrap/>
            <w:vAlign w:val="center"/>
            <w:hideMark/>
          </w:tcPr>
          <w:p w14:paraId="493CA587"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11280</w:t>
            </w:r>
          </w:p>
        </w:tc>
        <w:tc>
          <w:tcPr>
            <w:tcW w:w="1158" w:type="pct"/>
            <w:shd w:val="clear" w:color="auto" w:fill="auto"/>
            <w:noWrap/>
            <w:vAlign w:val="center"/>
            <w:hideMark/>
          </w:tcPr>
          <w:p w14:paraId="36A702E3"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73.36%</w:t>
            </w:r>
          </w:p>
        </w:tc>
      </w:tr>
      <w:tr w:rsidR="00F372CC" w:rsidRPr="00FC346C" w14:paraId="551A3FA5" w14:textId="77777777" w:rsidTr="00F372CC">
        <w:trPr>
          <w:trHeight w:val="282"/>
        </w:trPr>
        <w:tc>
          <w:tcPr>
            <w:tcW w:w="817" w:type="pct"/>
            <w:shd w:val="clear" w:color="auto" w:fill="auto"/>
            <w:noWrap/>
            <w:vAlign w:val="center"/>
            <w:hideMark/>
          </w:tcPr>
          <w:p w14:paraId="20ED79B2"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FY 2007</w:t>
            </w:r>
          </w:p>
        </w:tc>
        <w:tc>
          <w:tcPr>
            <w:tcW w:w="775" w:type="pct"/>
            <w:shd w:val="clear" w:color="auto" w:fill="auto"/>
            <w:noWrap/>
            <w:vAlign w:val="center"/>
            <w:hideMark/>
          </w:tcPr>
          <w:p w14:paraId="516260E7"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03-Apr-06</w:t>
            </w:r>
          </w:p>
        </w:tc>
        <w:tc>
          <w:tcPr>
            <w:tcW w:w="762" w:type="pct"/>
            <w:shd w:val="clear" w:color="auto" w:fill="auto"/>
            <w:noWrap/>
            <w:vAlign w:val="center"/>
            <w:hideMark/>
          </w:tcPr>
          <w:p w14:paraId="462C6372"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11343</w:t>
            </w:r>
          </w:p>
        </w:tc>
        <w:tc>
          <w:tcPr>
            <w:tcW w:w="725" w:type="pct"/>
            <w:shd w:val="clear" w:color="auto" w:fill="auto"/>
            <w:noWrap/>
            <w:vAlign w:val="center"/>
            <w:hideMark/>
          </w:tcPr>
          <w:p w14:paraId="2FEFEAFA"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30-Mar-07</w:t>
            </w:r>
          </w:p>
        </w:tc>
        <w:tc>
          <w:tcPr>
            <w:tcW w:w="762" w:type="pct"/>
            <w:shd w:val="clear" w:color="auto" w:fill="auto"/>
            <w:noWrap/>
            <w:vAlign w:val="center"/>
            <w:hideMark/>
          </w:tcPr>
          <w:p w14:paraId="22163524"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13072</w:t>
            </w:r>
          </w:p>
        </w:tc>
        <w:tc>
          <w:tcPr>
            <w:tcW w:w="1158" w:type="pct"/>
            <w:shd w:val="clear" w:color="auto" w:fill="auto"/>
            <w:noWrap/>
            <w:vAlign w:val="center"/>
            <w:hideMark/>
          </w:tcPr>
          <w:p w14:paraId="49016205"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15.24%</w:t>
            </w:r>
          </w:p>
        </w:tc>
      </w:tr>
      <w:tr w:rsidR="00F372CC" w:rsidRPr="00FC346C" w14:paraId="17742D41" w14:textId="77777777" w:rsidTr="00F372CC">
        <w:trPr>
          <w:trHeight w:val="282"/>
        </w:trPr>
        <w:tc>
          <w:tcPr>
            <w:tcW w:w="817" w:type="pct"/>
            <w:shd w:val="clear" w:color="auto" w:fill="auto"/>
            <w:noWrap/>
            <w:vAlign w:val="center"/>
            <w:hideMark/>
          </w:tcPr>
          <w:p w14:paraId="6B087102"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FY 2008</w:t>
            </w:r>
          </w:p>
        </w:tc>
        <w:tc>
          <w:tcPr>
            <w:tcW w:w="775" w:type="pct"/>
            <w:shd w:val="clear" w:color="auto" w:fill="auto"/>
            <w:noWrap/>
            <w:vAlign w:val="center"/>
            <w:hideMark/>
          </w:tcPr>
          <w:p w14:paraId="3DE45249"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02-Apr-07</w:t>
            </w:r>
          </w:p>
        </w:tc>
        <w:tc>
          <w:tcPr>
            <w:tcW w:w="762" w:type="pct"/>
            <w:shd w:val="clear" w:color="auto" w:fill="auto"/>
            <w:noWrap/>
            <w:vAlign w:val="center"/>
            <w:hideMark/>
          </w:tcPr>
          <w:p w14:paraId="7B359E65"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12812</w:t>
            </w:r>
          </w:p>
        </w:tc>
        <w:tc>
          <w:tcPr>
            <w:tcW w:w="725" w:type="pct"/>
            <w:shd w:val="clear" w:color="auto" w:fill="auto"/>
            <w:noWrap/>
            <w:vAlign w:val="center"/>
            <w:hideMark/>
          </w:tcPr>
          <w:p w14:paraId="530A8DC3"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31-Mar-08</w:t>
            </w:r>
          </w:p>
        </w:tc>
        <w:tc>
          <w:tcPr>
            <w:tcW w:w="762" w:type="pct"/>
            <w:shd w:val="clear" w:color="auto" w:fill="auto"/>
            <w:noWrap/>
            <w:vAlign w:val="center"/>
            <w:hideMark/>
          </w:tcPr>
          <w:p w14:paraId="56ED6275"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15644</w:t>
            </w:r>
          </w:p>
        </w:tc>
        <w:tc>
          <w:tcPr>
            <w:tcW w:w="1158" w:type="pct"/>
            <w:shd w:val="clear" w:color="auto" w:fill="auto"/>
            <w:noWrap/>
            <w:vAlign w:val="center"/>
            <w:hideMark/>
          </w:tcPr>
          <w:p w14:paraId="6BE6FC91"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22.11%</w:t>
            </w:r>
          </w:p>
        </w:tc>
      </w:tr>
      <w:tr w:rsidR="00F372CC" w:rsidRPr="00FC346C" w14:paraId="55FD2951" w14:textId="77777777" w:rsidTr="00F372CC">
        <w:trPr>
          <w:trHeight w:val="282"/>
        </w:trPr>
        <w:tc>
          <w:tcPr>
            <w:tcW w:w="817" w:type="pct"/>
            <w:shd w:val="clear" w:color="auto" w:fill="auto"/>
            <w:noWrap/>
            <w:vAlign w:val="center"/>
            <w:hideMark/>
          </w:tcPr>
          <w:p w14:paraId="5EF8E3B7"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FY 2009</w:t>
            </w:r>
          </w:p>
        </w:tc>
        <w:tc>
          <w:tcPr>
            <w:tcW w:w="775" w:type="pct"/>
            <w:shd w:val="clear" w:color="auto" w:fill="auto"/>
            <w:noWrap/>
            <w:vAlign w:val="center"/>
            <w:hideMark/>
          </w:tcPr>
          <w:p w14:paraId="0D44B9CD"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01-Apr-08</w:t>
            </w:r>
          </w:p>
        </w:tc>
        <w:tc>
          <w:tcPr>
            <w:tcW w:w="762" w:type="pct"/>
            <w:shd w:val="clear" w:color="auto" w:fill="auto"/>
            <w:noWrap/>
            <w:vAlign w:val="center"/>
            <w:hideMark/>
          </w:tcPr>
          <w:p w14:paraId="2098AA8B"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15772</w:t>
            </w:r>
          </w:p>
        </w:tc>
        <w:tc>
          <w:tcPr>
            <w:tcW w:w="725" w:type="pct"/>
            <w:shd w:val="clear" w:color="auto" w:fill="auto"/>
            <w:noWrap/>
            <w:vAlign w:val="center"/>
            <w:hideMark/>
          </w:tcPr>
          <w:p w14:paraId="1BD34B66"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31-Mar-09</w:t>
            </w:r>
          </w:p>
        </w:tc>
        <w:tc>
          <w:tcPr>
            <w:tcW w:w="762" w:type="pct"/>
            <w:shd w:val="clear" w:color="auto" w:fill="auto"/>
            <w:noWrap/>
            <w:vAlign w:val="center"/>
            <w:hideMark/>
          </w:tcPr>
          <w:p w14:paraId="140044AD"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9709</w:t>
            </w:r>
          </w:p>
        </w:tc>
        <w:tc>
          <w:tcPr>
            <w:tcW w:w="1158" w:type="pct"/>
            <w:shd w:val="clear" w:color="auto" w:fill="auto"/>
            <w:noWrap/>
            <w:vAlign w:val="center"/>
            <w:hideMark/>
          </w:tcPr>
          <w:p w14:paraId="6957524C"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-38.44%</w:t>
            </w:r>
          </w:p>
        </w:tc>
      </w:tr>
      <w:tr w:rsidR="00F372CC" w:rsidRPr="00FC346C" w14:paraId="2FCC6F74" w14:textId="77777777" w:rsidTr="00F372CC">
        <w:trPr>
          <w:trHeight w:val="282"/>
        </w:trPr>
        <w:tc>
          <w:tcPr>
            <w:tcW w:w="817" w:type="pct"/>
            <w:shd w:val="clear" w:color="auto" w:fill="auto"/>
            <w:noWrap/>
            <w:vAlign w:val="center"/>
            <w:hideMark/>
          </w:tcPr>
          <w:p w14:paraId="6C26DDFE"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FY 2010</w:t>
            </w:r>
          </w:p>
        </w:tc>
        <w:tc>
          <w:tcPr>
            <w:tcW w:w="775" w:type="pct"/>
            <w:shd w:val="clear" w:color="auto" w:fill="auto"/>
            <w:noWrap/>
            <w:vAlign w:val="center"/>
            <w:hideMark/>
          </w:tcPr>
          <w:p w14:paraId="2A1F43C0"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01-Apr-09</w:t>
            </w:r>
          </w:p>
        </w:tc>
        <w:tc>
          <w:tcPr>
            <w:tcW w:w="762" w:type="pct"/>
            <w:shd w:val="clear" w:color="auto" w:fill="auto"/>
            <w:noWrap/>
            <w:vAlign w:val="center"/>
            <w:hideMark/>
          </w:tcPr>
          <w:p w14:paraId="0C76D493"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9746</w:t>
            </w:r>
          </w:p>
        </w:tc>
        <w:tc>
          <w:tcPr>
            <w:tcW w:w="725" w:type="pct"/>
            <w:shd w:val="clear" w:color="auto" w:fill="auto"/>
            <w:noWrap/>
            <w:vAlign w:val="center"/>
            <w:hideMark/>
          </w:tcPr>
          <w:p w14:paraId="45C5CB3E"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31-Mar-10</w:t>
            </w:r>
          </w:p>
        </w:tc>
        <w:tc>
          <w:tcPr>
            <w:tcW w:w="762" w:type="pct"/>
            <w:shd w:val="clear" w:color="auto" w:fill="auto"/>
            <w:noWrap/>
            <w:vAlign w:val="center"/>
            <w:hideMark/>
          </w:tcPr>
          <w:p w14:paraId="5012DA12"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17528</w:t>
            </w:r>
          </w:p>
        </w:tc>
        <w:tc>
          <w:tcPr>
            <w:tcW w:w="1158" w:type="pct"/>
            <w:shd w:val="clear" w:color="auto" w:fill="auto"/>
            <w:noWrap/>
            <w:vAlign w:val="center"/>
            <w:hideMark/>
          </w:tcPr>
          <w:p w14:paraId="7E44C87D"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79.85%</w:t>
            </w:r>
          </w:p>
        </w:tc>
      </w:tr>
      <w:tr w:rsidR="00F372CC" w:rsidRPr="00FC346C" w14:paraId="1AB6263D" w14:textId="77777777" w:rsidTr="00F372CC">
        <w:trPr>
          <w:trHeight w:val="282"/>
        </w:trPr>
        <w:tc>
          <w:tcPr>
            <w:tcW w:w="817" w:type="pct"/>
            <w:shd w:val="clear" w:color="auto" w:fill="auto"/>
            <w:noWrap/>
            <w:vAlign w:val="center"/>
            <w:hideMark/>
          </w:tcPr>
          <w:p w14:paraId="50DC7B59"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FY 2011</w:t>
            </w:r>
          </w:p>
        </w:tc>
        <w:tc>
          <w:tcPr>
            <w:tcW w:w="775" w:type="pct"/>
            <w:shd w:val="clear" w:color="auto" w:fill="auto"/>
            <w:noWrap/>
            <w:vAlign w:val="center"/>
            <w:hideMark/>
          </w:tcPr>
          <w:p w14:paraId="3574E6BD"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01-Apr-10</w:t>
            </w:r>
          </w:p>
        </w:tc>
        <w:tc>
          <w:tcPr>
            <w:tcW w:w="762" w:type="pct"/>
            <w:shd w:val="clear" w:color="auto" w:fill="auto"/>
            <w:noWrap/>
            <w:vAlign w:val="center"/>
            <w:hideMark/>
          </w:tcPr>
          <w:p w14:paraId="60C4BF98"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17555</w:t>
            </w:r>
          </w:p>
        </w:tc>
        <w:tc>
          <w:tcPr>
            <w:tcW w:w="725" w:type="pct"/>
            <w:shd w:val="clear" w:color="auto" w:fill="auto"/>
            <w:noWrap/>
            <w:vAlign w:val="center"/>
            <w:hideMark/>
          </w:tcPr>
          <w:p w14:paraId="76F70960"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31-Mar-11</w:t>
            </w:r>
          </w:p>
        </w:tc>
        <w:tc>
          <w:tcPr>
            <w:tcW w:w="762" w:type="pct"/>
            <w:shd w:val="clear" w:color="auto" w:fill="auto"/>
            <w:noWrap/>
            <w:vAlign w:val="center"/>
            <w:hideMark/>
          </w:tcPr>
          <w:p w14:paraId="7E2F9BEF"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19445</w:t>
            </w:r>
          </w:p>
        </w:tc>
        <w:tc>
          <w:tcPr>
            <w:tcW w:w="1158" w:type="pct"/>
            <w:shd w:val="clear" w:color="auto" w:fill="auto"/>
            <w:noWrap/>
            <w:vAlign w:val="center"/>
            <w:hideMark/>
          </w:tcPr>
          <w:p w14:paraId="037E2DF8"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10.77%</w:t>
            </w:r>
          </w:p>
        </w:tc>
      </w:tr>
      <w:tr w:rsidR="00F372CC" w:rsidRPr="00FC346C" w14:paraId="0BF9148E" w14:textId="77777777" w:rsidTr="00F372CC">
        <w:trPr>
          <w:trHeight w:val="282"/>
        </w:trPr>
        <w:tc>
          <w:tcPr>
            <w:tcW w:w="817" w:type="pct"/>
            <w:shd w:val="clear" w:color="auto" w:fill="auto"/>
            <w:noWrap/>
            <w:vAlign w:val="center"/>
            <w:hideMark/>
          </w:tcPr>
          <w:p w14:paraId="58E5ACE7"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FY 2012</w:t>
            </w:r>
          </w:p>
        </w:tc>
        <w:tc>
          <w:tcPr>
            <w:tcW w:w="775" w:type="pct"/>
            <w:shd w:val="clear" w:color="auto" w:fill="auto"/>
            <w:noWrap/>
            <w:vAlign w:val="center"/>
            <w:hideMark/>
          </w:tcPr>
          <w:p w14:paraId="7E270357"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01-Apr-11</w:t>
            </w:r>
          </w:p>
        </w:tc>
        <w:tc>
          <w:tcPr>
            <w:tcW w:w="762" w:type="pct"/>
            <w:shd w:val="clear" w:color="auto" w:fill="auto"/>
            <w:noWrap/>
            <w:vAlign w:val="center"/>
            <w:hideMark/>
          </w:tcPr>
          <w:p w14:paraId="39B81040"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19463</w:t>
            </w:r>
          </w:p>
        </w:tc>
        <w:tc>
          <w:tcPr>
            <w:tcW w:w="725" w:type="pct"/>
            <w:shd w:val="clear" w:color="auto" w:fill="auto"/>
            <w:noWrap/>
            <w:vAlign w:val="center"/>
            <w:hideMark/>
          </w:tcPr>
          <w:p w14:paraId="6554339A"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30-Mar-12</w:t>
            </w:r>
          </w:p>
        </w:tc>
        <w:tc>
          <w:tcPr>
            <w:tcW w:w="762" w:type="pct"/>
            <w:shd w:val="clear" w:color="auto" w:fill="auto"/>
            <w:noWrap/>
            <w:vAlign w:val="center"/>
            <w:hideMark/>
          </w:tcPr>
          <w:p w14:paraId="6A4C784E"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17404</w:t>
            </w:r>
          </w:p>
        </w:tc>
        <w:tc>
          <w:tcPr>
            <w:tcW w:w="1158" w:type="pct"/>
            <w:shd w:val="clear" w:color="auto" w:fill="auto"/>
            <w:noWrap/>
            <w:vAlign w:val="center"/>
            <w:hideMark/>
          </w:tcPr>
          <w:p w14:paraId="12B02E9E"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-10.58%</w:t>
            </w:r>
          </w:p>
        </w:tc>
      </w:tr>
      <w:tr w:rsidR="00F372CC" w:rsidRPr="00FC346C" w14:paraId="79C9EBE6" w14:textId="77777777" w:rsidTr="00F372CC">
        <w:trPr>
          <w:trHeight w:val="282"/>
        </w:trPr>
        <w:tc>
          <w:tcPr>
            <w:tcW w:w="817" w:type="pct"/>
            <w:shd w:val="clear" w:color="auto" w:fill="auto"/>
            <w:noWrap/>
            <w:vAlign w:val="center"/>
            <w:hideMark/>
          </w:tcPr>
          <w:p w14:paraId="6D96450E"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FY 2013</w:t>
            </w:r>
          </w:p>
        </w:tc>
        <w:tc>
          <w:tcPr>
            <w:tcW w:w="775" w:type="pct"/>
            <w:shd w:val="clear" w:color="auto" w:fill="auto"/>
            <w:noWrap/>
            <w:vAlign w:val="center"/>
            <w:hideMark/>
          </w:tcPr>
          <w:p w14:paraId="38E41024"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02-Apr-12</w:t>
            </w:r>
          </w:p>
        </w:tc>
        <w:tc>
          <w:tcPr>
            <w:tcW w:w="762" w:type="pct"/>
            <w:shd w:val="clear" w:color="auto" w:fill="auto"/>
            <w:noWrap/>
            <w:vAlign w:val="center"/>
            <w:hideMark/>
          </w:tcPr>
          <w:p w14:paraId="204BF7D7"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17430</w:t>
            </w:r>
          </w:p>
        </w:tc>
        <w:tc>
          <w:tcPr>
            <w:tcW w:w="725" w:type="pct"/>
            <w:shd w:val="clear" w:color="auto" w:fill="auto"/>
            <w:noWrap/>
            <w:vAlign w:val="center"/>
            <w:hideMark/>
          </w:tcPr>
          <w:p w14:paraId="1D6FC6E1"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28-Mar-13</w:t>
            </w:r>
          </w:p>
        </w:tc>
        <w:tc>
          <w:tcPr>
            <w:tcW w:w="762" w:type="pct"/>
            <w:shd w:val="clear" w:color="auto" w:fill="auto"/>
            <w:noWrap/>
            <w:vAlign w:val="center"/>
            <w:hideMark/>
          </w:tcPr>
          <w:p w14:paraId="642D5C0F"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18836</w:t>
            </w:r>
          </w:p>
        </w:tc>
        <w:tc>
          <w:tcPr>
            <w:tcW w:w="1158" w:type="pct"/>
            <w:shd w:val="clear" w:color="auto" w:fill="auto"/>
            <w:noWrap/>
            <w:vAlign w:val="center"/>
            <w:hideMark/>
          </w:tcPr>
          <w:p w14:paraId="3B319FBD"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8.07%</w:t>
            </w:r>
          </w:p>
        </w:tc>
      </w:tr>
      <w:tr w:rsidR="00F372CC" w:rsidRPr="00FC346C" w14:paraId="66456C68" w14:textId="77777777" w:rsidTr="00F372CC">
        <w:trPr>
          <w:trHeight w:val="282"/>
        </w:trPr>
        <w:tc>
          <w:tcPr>
            <w:tcW w:w="817" w:type="pct"/>
            <w:shd w:val="clear" w:color="auto" w:fill="auto"/>
            <w:noWrap/>
            <w:vAlign w:val="center"/>
            <w:hideMark/>
          </w:tcPr>
          <w:p w14:paraId="526BD961"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FY 2014</w:t>
            </w:r>
          </w:p>
        </w:tc>
        <w:tc>
          <w:tcPr>
            <w:tcW w:w="775" w:type="pct"/>
            <w:shd w:val="clear" w:color="auto" w:fill="auto"/>
            <w:noWrap/>
            <w:vAlign w:val="center"/>
            <w:hideMark/>
          </w:tcPr>
          <w:p w14:paraId="0E7F3DC6"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01-Apr-13</w:t>
            </w:r>
          </w:p>
        </w:tc>
        <w:tc>
          <w:tcPr>
            <w:tcW w:w="762" w:type="pct"/>
            <w:shd w:val="clear" w:color="auto" w:fill="auto"/>
            <w:noWrap/>
            <w:vAlign w:val="center"/>
            <w:hideMark/>
          </w:tcPr>
          <w:p w14:paraId="42719F1C"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18891</w:t>
            </w:r>
          </w:p>
        </w:tc>
        <w:tc>
          <w:tcPr>
            <w:tcW w:w="725" w:type="pct"/>
            <w:shd w:val="clear" w:color="auto" w:fill="auto"/>
            <w:noWrap/>
            <w:vAlign w:val="center"/>
            <w:hideMark/>
          </w:tcPr>
          <w:p w14:paraId="1BF1C845"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31-Mar-14</w:t>
            </w:r>
          </w:p>
        </w:tc>
        <w:tc>
          <w:tcPr>
            <w:tcW w:w="762" w:type="pct"/>
            <w:shd w:val="clear" w:color="auto" w:fill="auto"/>
            <w:noWrap/>
            <w:vAlign w:val="center"/>
            <w:hideMark/>
          </w:tcPr>
          <w:p w14:paraId="259CC367"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22386</w:t>
            </w:r>
          </w:p>
        </w:tc>
        <w:tc>
          <w:tcPr>
            <w:tcW w:w="1158" w:type="pct"/>
            <w:shd w:val="clear" w:color="auto" w:fill="auto"/>
            <w:noWrap/>
            <w:vAlign w:val="center"/>
            <w:hideMark/>
          </w:tcPr>
          <w:p w14:paraId="0A011313"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18.50%</w:t>
            </w:r>
          </w:p>
        </w:tc>
      </w:tr>
      <w:tr w:rsidR="00F372CC" w:rsidRPr="00FC346C" w14:paraId="210BC184" w14:textId="77777777" w:rsidTr="00F372CC">
        <w:trPr>
          <w:trHeight w:val="282"/>
        </w:trPr>
        <w:tc>
          <w:tcPr>
            <w:tcW w:w="817" w:type="pct"/>
            <w:shd w:val="clear" w:color="auto" w:fill="auto"/>
            <w:noWrap/>
            <w:vAlign w:val="center"/>
            <w:hideMark/>
          </w:tcPr>
          <w:p w14:paraId="105CCDF1"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FY 2015</w:t>
            </w:r>
          </w:p>
        </w:tc>
        <w:tc>
          <w:tcPr>
            <w:tcW w:w="775" w:type="pct"/>
            <w:shd w:val="clear" w:color="auto" w:fill="auto"/>
            <w:noWrap/>
            <w:vAlign w:val="center"/>
            <w:hideMark/>
          </w:tcPr>
          <w:p w14:paraId="53554934"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01-Apr-14</w:t>
            </w:r>
          </w:p>
        </w:tc>
        <w:tc>
          <w:tcPr>
            <w:tcW w:w="762" w:type="pct"/>
            <w:shd w:val="clear" w:color="auto" w:fill="auto"/>
            <w:noWrap/>
            <w:vAlign w:val="center"/>
            <w:hideMark/>
          </w:tcPr>
          <w:p w14:paraId="09E621A4"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22455</w:t>
            </w:r>
          </w:p>
        </w:tc>
        <w:tc>
          <w:tcPr>
            <w:tcW w:w="725" w:type="pct"/>
            <w:shd w:val="clear" w:color="auto" w:fill="auto"/>
            <w:noWrap/>
            <w:vAlign w:val="center"/>
            <w:hideMark/>
          </w:tcPr>
          <w:p w14:paraId="5CA54A92"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31-Mar-15</w:t>
            </w:r>
          </w:p>
        </w:tc>
        <w:tc>
          <w:tcPr>
            <w:tcW w:w="762" w:type="pct"/>
            <w:shd w:val="clear" w:color="auto" w:fill="auto"/>
            <w:noWrap/>
            <w:vAlign w:val="center"/>
            <w:hideMark/>
          </w:tcPr>
          <w:p w14:paraId="4C2AB382"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27957</w:t>
            </w:r>
          </w:p>
        </w:tc>
        <w:tc>
          <w:tcPr>
            <w:tcW w:w="1158" w:type="pct"/>
            <w:shd w:val="clear" w:color="auto" w:fill="auto"/>
            <w:noWrap/>
            <w:vAlign w:val="center"/>
            <w:hideMark/>
          </w:tcPr>
          <w:p w14:paraId="1D354E5B"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24.50%</w:t>
            </w:r>
          </w:p>
        </w:tc>
      </w:tr>
      <w:tr w:rsidR="00F372CC" w:rsidRPr="00FC346C" w14:paraId="78C8BE1C" w14:textId="77777777" w:rsidTr="00F372CC">
        <w:trPr>
          <w:trHeight w:val="282"/>
        </w:trPr>
        <w:tc>
          <w:tcPr>
            <w:tcW w:w="817" w:type="pct"/>
            <w:shd w:val="clear" w:color="auto" w:fill="auto"/>
            <w:noWrap/>
            <w:vAlign w:val="center"/>
            <w:hideMark/>
          </w:tcPr>
          <w:p w14:paraId="5B0BB13B"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FY 2016</w:t>
            </w:r>
          </w:p>
        </w:tc>
        <w:tc>
          <w:tcPr>
            <w:tcW w:w="775" w:type="pct"/>
            <w:shd w:val="clear" w:color="auto" w:fill="auto"/>
            <w:noWrap/>
            <w:vAlign w:val="center"/>
            <w:hideMark/>
          </w:tcPr>
          <w:p w14:paraId="6A9AFAD3"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01-Apr-15</w:t>
            </w:r>
          </w:p>
        </w:tc>
        <w:tc>
          <w:tcPr>
            <w:tcW w:w="762" w:type="pct"/>
            <w:shd w:val="clear" w:color="auto" w:fill="auto"/>
            <w:noWrap/>
            <w:vAlign w:val="center"/>
            <w:hideMark/>
          </w:tcPr>
          <w:p w14:paraId="56955B0D"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27955</w:t>
            </w:r>
          </w:p>
        </w:tc>
        <w:tc>
          <w:tcPr>
            <w:tcW w:w="725" w:type="pct"/>
            <w:shd w:val="clear" w:color="auto" w:fill="auto"/>
            <w:noWrap/>
            <w:vAlign w:val="center"/>
            <w:hideMark/>
          </w:tcPr>
          <w:p w14:paraId="3AD2D8DD"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31-Mar-16</w:t>
            </w:r>
          </w:p>
        </w:tc>
        <w:tc>
          <w:tcPr>
            <w:tcW w:w="762" w:type="pct"/>
            <w:shd w:val="clear" w:color="auto" w:fill="auto"/>
            <w:noWrap/>
            <w:vAlign w:val="center"/>
            <w:hideMark/>
          </w:tcPr>
          <w:p w14:paraId="45D679A4"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25342</w:t>
            </w:r>
          </w:p>
        </w:tc>
        <w:tc>
          <w:tcPr>
            <w:tcW w:w="1158" w:type="pct"/>
            <w:shd w:val="clear" w:color="auto" w:fill="auto"/>
            <w:noWrap/>
            <w:vAlign w:val="center"/>
            <w:hideMark/>
          </w:tcPr>
          <w:p w14:paraId="50055CDF"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-9.35%</w:t>
            </w:r>
          </w:p>
        </w:tc>
      </w:tr>
      <w:tr w:rsidR="00F372CC" w:rsidRPr="00FC346C" w14:paraId="3636C796" w14:textId="77777777" w:rsidTr="00F372CC">
        <w:trPr>
          <w:trHeight w:val="282"/>
        </w:trPr>
        <w:tc>
          <w:tcPr>
            <w:tcW w:w="817" w:type="pct"/>
            <w:shd w:val="clear" w:color="auto" w:fill="auto"/>
            <w:noWrap/>
            <w:vAlign w:val="center"/>
            <w:hideMark/>
          </w:tcPr>
          <w:p w14:paraId="483235FA"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FY 2017</w:t>
            </w:r>
          </w:p>
        </w:tc>
        <w:tc>
          <w:tcPr>
            <w:tcW w:w="775" w:type="pct"/>
            <w:shd w:val="clear" w:color="auto" w:fill="auto"/>
            <w:noWrap/>
            <w:vAlign w:val="center"/>
            <w:hideMark/>
          </w:tcPr>
          <w:p w14:paraId="494D90C3"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01-Apr-16</w:t>
            </w:r>
          </w:p>
        </w:tc>
        <w:tc>
          <w:tcPr>
            <w:tcW w:w="762" w:type="pct"/>
            <w:shd w:val="clear" w:color="auto" w:fill="auto"/>
            <w:noWrap/>
            <w:vAlign w:val="center"/>
            <w:hideMark/>
          </w:tcPr>
          <w:p w14:paraId="3FB7539E"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25302</w:t>
            </w:r>
          </w:p>
        </w:tc>
        <w:tc>
          <w:tcPr>
            <w:tcW w:w="725" w:type="pct"/>
            <w:shd w:val="clear" w:color="auto" w:fill="auto"/>
            <w:noWrap/>
            <w:vAlign w:val="center"/>
            <w:hideMark/>
          </w:tcPr>
          <w:p w14:paraId="770FB8E0"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31-Mar-17</w:t>
            </w:r>
          </w:p>
        </w:tc>
        <w:tc>
          <w:tcPr>
            <w:tcW w:w="762" w:type="pct"/>
            <w:shd w:val="clear" w:color="auto" w:fill="auto"/>
            <w:noWrap/>
            <w:vAlign w:val="center"/>
            <w:hideMark/>
          </w:tcPr>
          <w:p w14:paraId="31345978"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29621</w:t>
            </w:r>
          </w:p>
        </w:tc>
        <w:tc>
          <w:tcPr>
            <w:tcW w:w="1158" w:type="pct"/>
            <w:shd w:val="clear" w:color="auto" w:fill="auto"/>
            <w:noWrap/>
            <w:vAlign w:val="center"/>
            <w:hideMark/>
          </w:tcPr>
          <w:p w14:paraId="4059203E"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17.07%</w:t>
            </w:r>
          </w:p>
        </w:tc>
      </w:tr>
      <w:tr w:rsidR="00F372CC" w:rsidRPr="00FC346C" w14:paraId="3EB8BB61" w14:textId="77777777" w:rsidTr="00F372CC">
        <w:trPr>
          <w:trHeight w:val="282"/>
        </w:trPr>
        <w:tc>
          <w:tcPr>
            <w:tcW w:w="817" w:type="pct"/>
            <w:shd w:val="clear" w:color="auto" w:fill="auto"/>
            <w:noWrap/>
            <w:vAlign w:val="center"/>
            <w:hideMark/>
          </w:tcPr>
          <w:p w14:paraId="6E938FE5"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FY 2018</w:t>
            </w:r>
          </w:p>
        </w:tc>
        <w:tc>
          <w:tcPr>
            <w:tcW w:w="775" w:type="pct"/>
            <w:shd w:val="clear" w:color="auto" w:fill="auto"/>
            <w:noWrap/>
            <w:vAlign w:val="center"/>
            <w:hideMark/>
          </w:tcPr>
          <w:p w14:paraId="2E042C31"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03-Apr-17</w:t>
            </w:r>
          </w:p>
        </w:tc>
        <w:tc>
          <w:tcPr>
            <w:tcW w:w="762" w:type="pct"/>
            <w:shd w:val="clear" w:color="auto" w:fill="auto"/>
            <w:noWrap/>
            <w:vAlign w:val="center"/>
            <w:hideMark/>
          </w:tcPr>
          <w:p w14:paraId="71203222"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29738</w:t>
            </w:r>
          </w:p>
        </w:tc>
        <w:tc>
          <w:tcPr>
            <w:tcW w:w="725" w:type="pct"/>
            <w:shd w:val="clear" w:color="auto" w:fill="auto"/>
            <w:noWrap/>
            <w:vAlign w:val="center"/>
            <w:hideMark/>
          </w:tcPr>
          <w:p w14:paraId="7B30367D"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28-Mar-18</w:t>
            </w:r>
          </w:p>
        </w:tc>
        <w:tc>
          <w:tcPr>
            <w:tcW w:w="762" w:type="pct"/>
            <w:shd w:val="clear" w:color="auto" w:fill="auto"/>
            <w:noWrap/>
            <w:vAlign w:val="center"/>
            <w:hideMark/>
          </w:tcPr>
          <w:p w14:paraId="03A7483C"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32969</w:t>
            </w:r>
          </w:p>
        </w:tc>
        <w:tc>
          <w:tcPr>
            <w:tcW w:w="1158" w:type="pct"/>
            <w:shd w:val="clear" w:color="auto" w:fill="auto"/>
            <w:noWrap/>
            <w:vAlign w:val="center"/>
            <w:hideMark/>
          </w:tcPr>
          <w:p w14:paraId="438ACBC9"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10.86%</w:t>
            </w:r>
          </w:p>
        </w:tc>
      </w:tr>
      <w:tr w:rsidR="00F372CC" w:rsidRPr="00FC346C" w14:paraId="71B4E5D6" w14:textId="77777777" w:rsidTr="00F372CC">
        <w:trPr>
          <w:trHeight w:val="282"/>
        </w:trPr>
        <w:tc>
          <w:tcPr>
            <w:tcW w:w="817" w:type="pct"/>
            <w:shd w:val="clear" w:color="auto" w:fill="auto"/>
            <w:noWrap/>
            <w:vAlign w:val="center"/>
            <w:hideMark/>
          </w:tcPr>
          <w:p w14:paraId="4FF95E84"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FY 2019</w:t>
            </w:r>
          </w:p>
        </w:tc>
        <w:tc>
          <w:tcPr>
            <w:tcW w:w="775" w:type="pct"/>
            <w:shd w:val="clear" w:color="auto" w:fill="auto"/>
            <w:noWrap/>
            <w:vAlign w:val="center"/>
            <w:hideMark/>
          </w:tcPr>
          <w:p w14:paraId="2CABC579"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02-Apr-18</w:t>
            </w:r>
          </w:p>
        </w:tc>
        <w:tc>
          <w:tcPr>
            <w:tcW w:w="762" w:type="pct"/>
            <w:shd w:val="clear" w:color="auto" w:fill="auto"/>
            <w:noWrap/>
            <w:vAlign w:val="center"/>
            <w:hideMark/>
          </w:tcPr>
          <w:p w14:paraId="54C36C6D"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33031</w:t>
            </w:r>
          </w:p>
        </w:tc>
        <w:tc>
          <w:tcPr>
            <w:tcW w:w="725" w:type="pct"/>
            <w:shd w:val="clear" w:color="auto" w:fill="auto"/>
            <w:noWrap/>
            <w:vAlign w:val="center"/>
            <w:hideMark/>
          </w:tcPr>
          <w:p w14:paraId="682377A6"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29-Mar-19</w:t>
            </w:r>
          </w:p>
        </w:tc>
        <w:tc>
          <w:tcPr>
            <w:tcW w:w="762" w:type="pct"/>
            <w:shd w:val="clear" w:color="auto" w:fill="auto"/>
            <w:noWrap/>
            <w:vAlign w:val="center"/>
            <w:hideMark/>
          </w:tcPr>
          <w:p w14:paraId="33B20448"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38673</w:t>
            </w:r>
          </w:p>
        </w:tc>
        <w:tc>
          <w:tcPr>
            <w:tcW w:w="1158" w:type="pct"/>
            <w:shd w:val="clear" w:color="auto" w:fill="auto"/>
            <w:noWrap/>
            <w:vAlign w:val="center"/>
            <w:hideMark/>
          </w:tcPr>
          <w:p w14:paraId="4F5B03FD"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17.08%</w:t>
            </w:r>
          </w:p>
        </w:tc>
      </w:tr>
      <w:tr w:rsidR="00F372CC" w:rsidRPr="00FC346C" w14:paraId="1323DD97" w14:textId="77777777" w:rsidTr="00F372CC">
        <w:trPr>
          <w:trHeight w:val="282"/>
        </w:trPr>
        <w:tc>
          <w:tcPr>
            <w:tcW w:w="817" w:type="pct"/>
            <w:shd w:val="clear" w:color="auto" w:fill="auto"/>
            <w:noWrap/>
            <w:vAlign w:val="center"/>
            <w:hideMark/>
          </w:tcPr>
          <w:p w14:paraId="43E23648"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FY 2020</w:t>
            </w:r>
          </w:p>
        </w:tc>
        <w:tc>
          <w:tcPr>
            <w:tcW w:w="775" w:type="pct"/>
            <w:shd w:val="clear" w:color="auto" w:fill="auto"/>
            <w:noWrap/>
            <w:vAlign w:val="center"/>
            <w:hideMark/>
          </w:tcPr>
          <w:p w14:paraId="58494597"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01-Apr-19</w:t>
            </w:r>
          </w:p>
        </w:tc>
        <w:tc>
          <w:tcPr>
            <w:tcW w:w="762" w:type="pct"/>
            <w:shd w:val="clear" w:color="auto" w:fill="auto"/>
            <w:noWrap/>
            <w:vAlign w:val="center"/>
            <w:hideMark/>
          </w:tcPr>
          <w:p w14:paraId="0DFF9F1B"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38859</w:t>
            </w:r>
          </w:p>
        </w:tc>
        <w:tc>
          <w:tcPr>
            <w:tcW w:w="725" w:type="pct"/>
            <w:shd w:val="clear" w:color="auto" w:fill="auto"/>
            <w:noWrap/>
            <w:vAlign w:val="center"/>
            <w:hideMark/>
          </w:tcPr>
          <w:p w14:paraId="22877BD8"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31-Mar-20</w:t>
            </w:r>
          </w:p>
        </w:tc>
        <w:tc>
          <w:tcPr>
            <w:tcW w:w="762" w:type="pct"/>
            <w:shd w:val="clear" w:color="auto" w:fill="auto"/>
            <w:noWrap/>
            <w:vAlign w:val="center"/>
            <w:hideMark/>
          </w:tcPr>
          <w:p w14:paraId="42A6C750"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29468</w:t>
            </w:r>
          </w:p>
        </w:tc>
        <w:tc>
          <w:tcPr>
            <w:tcW w:w="1158" w:type="pct"/>
            <w:shd w:val="clear" w:color="auto" w:fill="auto"/>
            <w:noWrap/>
            <w:vAlign w:val="center"/>
            <w:hideMark/>
          </w:tcPr>
          <w:p w14:paraId="13392A99"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-24.17%</w:t>
            </w:r>
          </w:p>
        </w:tc>
      </w:tr>
      <w:tr w:rsidR="00F372CC" w:rsidRPr="00FC346C" w14:paraId="05FB1F41" w14:textId="77777777" w:rsidTr="00F372CC">
        <w:trPr>
          <w:trHeight w:val="282"/>
        </w:trPr>
        <w:tc>
          <w:tcPr>
            <w:tcW w:w="817" w:type="pct"/>
            <w:shd w:val="clear" w:color="auto" w:fill="auto"/>
            <w:noWrap/>
            <w:vAlign w:val="center"/>
            <w:hideMark/>
          </w:tcPr>
          <w:p w14:paraId="61F8B18F"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FY 2021</w:t>
            </w:r>
          </w:p>
        </w:tc>
        <w:tc>
          <w:tcPr>
            <w:tcW w:w="775" w:type="pct"/>
            <w:shd w:val="clear" w:color="auto" w:fill="auto"/>
            <w:noWrap/>
            <w:vAlign w:val="center"/>
            <w:hideMark/>
          </w:tcPr>
          <w:p w14:paraId="1CC0B4A3"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01-Apr-20</w:t>
            </w:r>
          </w:p>
        </w:tc>
        <w:tc>
          <w:tcPr>
            <w:tcW w:w="762" w:type="pct"/>
            <w:shd w:val="clear" w:color="auto" w:fill="auto"/>
            <w:noWrap/>
            <w:vAlign w:val="center"/>
            <w:hideMark/>
          </w:tcPr>
          <w:p w14:paraId="27DE8418"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29505</w:t>
            </w:r>
          </w:p>
        </w:tc>
        <w:tc>
          <w:tcPr>
            <w:tcW w:w="725" w:type="pct"/>
            <w:shd w:val="clear" w:color="auto" w:fill="auto"/>
            <w:noWrap/>
            <w:vAlign w:val="center"/>
            <w:hideMark/>
          </w:tcPr>
          <w:p w14:paraId="1E7E4D02"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31-Mar-21</w:t>
            </w:r>
          </w:p>
        </w:tc>
        <w:tc>
          <w:tcPr>
            <w:tcW w:w="762" w:type="pct"/>
            <w:shd w:val="clear" w:color="auto" w:fill="auto"/>
            <w:noWrap/>
            <w:vAlign w:val="center"/>
            <w:hideMark/>
          </w:tcPr>
          <w:p w14:paraId="6E5D19B8"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49509</w:t>
            </w:r>
          </w:p>
        </w:tc>
        <w:tc>
          <w:tcPr>
            <w:tcW w:w="1158" w:type="pct"/>
            <w:shd w:val="clear" w:color="auto" w:fill="auto"/>
            <w:noWrap/>
            <w:vAlign w:val="center"/>
            <w:hideMark/>
          </w:tcPr>
          <w:p w14:paraId="04B09970"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67.80%</w:t>
            </w:r>
          </w:p>
        </w:tc>
      </w:tr>
      <w:tr w:rsidR="00F372CC" w:rsidRPr="00FC346C" w14:paraId="40578965" w14:textId="77777777" w:rsidTr="00F372CC">
        <w:trPr>
          <w:trHeight w:val="282"/>
        </w:trPr>
        <w:tc>
          <w:tcPr>
            <w:tcW w:w="817" w:type="pct"/>
            <w:shd w:val="clear" w:color="auto" w:fill="auto"/>
            <w:noWrap/>
            <w:vAlign w:val="center"/>
            <w:hideMark/>
          </w:tcPr>
          <w:p w14:paraId="0DEAB19F"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FY 2022</w:t>
            </w:r>
          </w:p>
        </w:tc>
        <w:tc>
          <w:tcPr>
            <w:tcW w:w="775" w:type="pct"/>
            <w:shd w:val="clear" w:color="auto" w:fill="auto"/>
            <w:noWrap/>
            <w:vAlign w:val="center"/>
            <w:hideMark/>
          </w:tcPr>
          <w:p w14:paraId="7FACCC4B"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01-Apr-21</w:t>
            </w:r>
          </w:p>
        </w:tc>
        <w:tc>
          <w:tcPr>
            <w:tcW w:w="762" w:type="pct"/>
            <w:shd w:val="clear" w:color="auto" w:fill="auto"/>
            <w:noWrap/>
            <w:vAlign w:val="center"/>
            <w:hideMark/>
          </w:tcPr>
          <w:p w14:paraId="2326478B"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49869</w:t>
            </w:r>
          </w:p>
        </w:tc>
        <w:tc>
          <w:tcPr>
            <w:tcW w:w="725" w:type="pct"/>
            <w:shd w:val="clear" w:color="auto" w:fill="auto"/>
            <w:noWrap/>
            <w:vAlign w:val="center"/>
            <w:hideMark/>
          </w:tcPr>
          <w:p w14:paraId="0E93615D"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31-Mar-22</w:t>
            </w:r>
          </w:p>
        </w:tc>
        <w:tc>
          <w:tcPr>
            <w:tcW w:w="762" w:type="pct"/>
            <w:shd w:val="clear" w:color="auto" w:fill="auto"/>
            <w:noWrap/>
            <w:vAlign w:val="center"/>
            <w:hideMark/>
          </w:tcPr>
          <w:p w14:paraId="470AD34C"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58569</w:t>
            </w:r>
          </w:p>
        </w:tc>
        <w:tc>
          <w:tcPr>
            <w:tcW w:w="1158" w:type="pct"/>
            <w:shd w:val="clear" w:color="auto" w:fill="auto"/>
            <w:noWrap/>
            <w:vAlign w:val="center"/>
            <w:hideMark/>
          </w:tcPr>
          <w:p w14:paraId="0558F264"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17.45%</w:t>
            </w:r>
          </w:p>
        </w:tc>
      </w:tr>
      <w:tr w:rsidR="00F372CC" w:rsidRPr="00FC346C" w14:paraId="68BB6E15" w14:textId="77777777" w:rsidTr="00F372CC">
        <w:trPr>
          <w:trHeight w:val="282"/>
        </w:trPr>
        <w:tc>
          <w:tcPr>
            <w:tcW w:w="817" w:type="pct"/>
            <w:shd w:val="clear" w:color="auto" w:fill="auto"/>
            <w:noWrap/>
            <w:vAlign w:val="center"/>
            <w:hideMark/>
          </w:tcPr>
          <w:p w14:paraId="793EC1D4"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FY 2023</w:t>
            </w:r>
          </w:p>
        </w:tc>
        <w:tc>
          <w:tcPr>
            <w:tcW w:w="775" w:type="pct"/>
            <w:shd w:val="clear" w:color="auto" w:fill="auto"/>
            <w:noWrap/>
            <w:vAlign w:val="center"/>
            <w:hideMark/>
          </w:tcPr>
          <w:p w14:paraId="779ECF8F"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01-Apr-22</w:t>
            </w:r>
          </w:p>
        </w:tc>
        <w:tc>
          <w:tcPr>
            <w:tcW w:w="762" w:type="pct"/>
            <w:shd w:val="clear" w:color="auto" w:fill="auto"/>
            <w:noWrap/>
            <w:vAlign w:val="center"/>
            <w:hideMark/>
          </w:tcPr>
          <w:p w14:paraId="228D905F"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58531</w:t>
            </w:r>
          </w:p>
        </w:tc>
        <w:tc>
          <w:tcPr>
            <w:tcW w:w="725" w:type="pct"/>
            <w:shd w:val="clear" w:color="auto" w:fill="auto"/>
            <w:noWrap/>
            <w:vAlign w:val="center"/>
            <w:hideMark/>
          </w:tcPr>
          <w:p w14:paraId="2BE843E3"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31-Mar-23</w:t>
            </w:r>
          </w:p>
        </w:tc>
        <w:tc>
          <w:tcPr>
            <w:tcW w:w="762" w:type="pct"/>
            <w:shd w:val="clear" w:color="auto" w:fill="auto"/>
            <w:noWrap/>
            <w:vAlign w:val="center"/>
            <w:hideMark/>
          </w:tcPr>
          <w:p w14:paraId="088117DC"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58992</w:t>
            </w:r>
          </w:p>
        </w:tc>
        <w:tc>
          <w:tcPr>
            <w:tcW w:w="1158" w:type="pct"/>
            <w:shd w:val="clear" w:color="auto" w:fill="auto"/>
            <w:noWrap/>
            <w:vAlign w:val="center"/>
            <w:hideMark/>
          </w:tcPr>
          <w:p w14:paraId="5B7D15D5"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0.79%</w:t>
            </w:r>
          </w:p>
        </w:tc>
      </w:tr>
      <w:tr w:rsidR="00F372CC" w:rsidRPr="00FC346C" w14:paraId="61318EE8" w14:textId="77777777" w:rsidTr="00F372CC">
        <w:trPr>
          <w:trHeight w:val="282"/>
        </w:trPr>
        <w:tc>
          <w:tcPr>
            <w:tcW w:w="817" w:type="pct"/>
            <w:shd w:val="clear" w:color="auto" w:fill="D9E2F3" w:themeFill="accent1" w:themeFillTint="33"/>
            <w:noWrap/>
            <w:vAlign w:val="center"/>
          </w:tcPr>
          <w:p w14:paraId="797B166F"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p>
        </w:tc>
        <w:tc>
          <w:tcPr>
            <w:tcW w:w="775" w:type="pct"/>
            <w:shd w:val="clear" w:color="auto" w:fill="D9E2F3" w:themeFill="accent1" w:themeFillTint="33"/>
            <w:noWrap/>
            <w:vAlign w:val="center"/>
          </w:tcPr>
          <w:p w14:paraId="0218955E"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p>
        </w:tc>
        <w:tc>
          <w:tcPr>
            <w:tcW w:w="762" w:type="pct"/>
            <w:shd w:val="clear" w:color="auto" w:fill="D9E2F3" w:themeFill="accent1" w:themeFillTint="33"/>
            <w:noWrap/>
            <w:vAlign w:val="center"/>
          </w:tcPr>
          <w:p w14:paraId="0426E023"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p>
        </w:tc>
        <w:tc>
          <w:tcPr>
            <w:tcW w:w="725" w:type="pct"/>
            <w:shd w:val="clear" w:color="auto" w:fill="D9E2F3" w:themeFill="accent1" w:themeFillTint="33"/>
            <w:noWrap/>
            <w:vAlign w:val="center"/>
          </w:tcPr>
          <w:p w14:paraId="62715FE7"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p>
        </w:tc>
        <w:tc>
          <w:tcPr>
            <w:tcW w:w="762" w:type="pct"/>
            <w:shd w:val="clear" w:color="auto" w:fill="D9E2F3" w:themeFill="accent1" w:themeFillTint="33"/>
            <w:noWrap/>
            <w:vAlign w:val="center"/>
          </w:tcPr>
          <w:p w14:paraId="327912CD"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p>
        </w:tc>
        <w:tc>
          <w:tcPr>
            <w:tcW w:w="1158" w:type="pct"/>
            <w:shd w:val="clear" w:color="auto" w:fill="D9E2F3" w:themeFill="accent1" w:themeFillTint="33"/>
            <w:noWrap/>
            <w:vAlign w:val="center"/>
          </w:tcPr>
          <w:p w14:paraId="69D3109F"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p>
        </w:tc>
      </w:tr>
      <w:tr w:rsidR="00F372CC" w:rsidRPr="00FC346C" w14:paraId="4AE70A46" w14:textId="77777777" w:rsidTr="00F372CC">
        <w:trPr>
          <w:trHeight w:val="282"/>
        </w:trPr>
        <w:tc>
          <w:tcPr>
            <w:tcW w:w="817" w:type="pct"/>
            <w:shd w:val="clear" w:color="auto" w:fill="auto"/>
            <w:noWrap/>
            <w:vAlign w:val="center"/>
          </w:tcPr>
          <w:p w14:paraId="454450BE" w14:textId="77777777" w:rsidR="00F372CC" w:rsidRPr="00FC346C" w:rsidRDefault="00F372CC" w:rsidP="00F372CC">
            <w:pPr>
              <w:spacing w:after="0" w:line="240" w:lineRule="auto"/>
              <w:jc w:val="center"/>
              <w:rPr>
                <w:rFonts w:ascii="Times New Roman" w:eastAsia="Times New Roman" w:hAnsi="Times New Roman" w:cs="Times New Roman"/>
                <w:b/>
                <w:bCs/>
                <w:color w:val="000000"/>
                <w:sz w:val="23"/>
                <w:szCs w:val="23"/>
                <w:lang w:eastAsia="en-IN"/>
              </w:rPr>
            </w:pPr>
            <w:r w:rsidRPr="00FC346C">
              <w:rPr>
                <w:rFonts w:ascii="Times New Roman" w:eastAsia="Times New Roman" w:hAnsi="Times New Roman" w:cs="Times New Roman"/>
                <w:b/>
                <w:bCs/>
                <w:color w:val="000000"/>
                <w:sz w:val="23"/>
                <w:szCs w:val="23"/>
                <w:lang w:eastAsia="en-IN"/>
              </w:rPr>
              <w:t>5-Year CAGR</w:t>
            </w:r>
          </w:p>
        </w:tc>
        <w:tc>
          <w:tcPr>
            <w:tcW w:w="775" w:type="pct"/>
            <w:shd w:val="clear" w:color="auto" w:fill="auto"/>
            <w:noWrap/>
            <w:vAlign w:val="center"/>
          </w:tcPr>
          <w:p w14:paraId="68DA6987"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02-Apr-18</w:t>
            </w:r>
          </w:p>
        </w:tc>
        <w:tc>
          <w:tcPr>
            <w:tcW w:w="762" w:type="pct"/>
            <w:shd w:val="clear" w:color="auto" w:fill="auto"/>
            <w:noWrap/>
            <w:vAlign w:val="center"/>
          </w:tcPr>
          <w:p w14:paraId="1E0F5E73"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33031</w:t>
            </w:r>
          </w:p>
        </w:tc>
        <w:tc>
          <w:tcPr>
            <w:tcW w:w="725" w:type="pct"/>
            <w:shd w:val="clear" w:color="auto" w:fill="auto"/>
            <w:noWrap/>
            <w:vAlign w:val="center"/>
          </w:tcPr>
          <w:p w14:paraId="4EA725A9"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31-Mar-23</w:t>
            </w:r>
          </w:p>
        </w:tc>
        <w:tc>
          <w:tcPr>
            <w:tcW w:w="762" w:type="pct"/>
            <w:shd w:val="clear" w:color="auto" w:fill="auto"/>
            <w:noWrap/>
            <w:vAlign w:val="center"/>
          </w:tcPr>
          <w:p w14:paraId="7D5CB3F6"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58992</w:t>
            </w:r>
          </w:p>
        </w:tc>
        <w:tc>
          <w:tcPr>
            <w:tcW w:w="1158" w:type="pct"/>
            <w:shd w:val="clear" w:color="auto" w:fill="auto"/>
            <w:noWrap/>
            <w:vAlign w:val="center"/>
          </w:tcPr>
          <w:p w14:paraId="6870CFF6"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15.60%</w:t>
            </w:r>
          </w:p>
        </w:tc>
      </w:tr>
      <w:tr w:rsidR="00F372CC" w:rsidRPr="00FC346C" w14:paraId="56DCD9EA" w14:textId="77777777" w:rsidTr="00F372CC">
        <w:trPr>
          <w:trHeight w:val="282"/>
        </w:trPr>
        <w:tc>
          <w:tcPr>
            <w:tcW w:w="817" w:type="pct"/>
            <w:shd w:val="clear" w:color="auto" w:fill="auto"/>
            <w:noWrap/>
            <w:vAlign w:val="center"/>
          </w:tcPr>
          <w:p w14:paraId="1C820D94" w14:textId="77777777" w:rsidR="00F372CC" w:rsidRPr="00FC346C" w:rsidRDefault="00F372CC" w:rsidP="00F372CC">
            <w:pPr>
              <w:spacing w:after="0" w:line="240" w:lineRule="auto"/>
              <w:jc w:val="center"/>
              <w:rPr>
                <w:rFonts w:ascii="Times New Roman" w:eastAsia="Times New Roman" w:hAnsi="Times New Roman" w:cs="Times New Roman"/>
                <w:b/>
                <w:bCs/>
                <w:color w:val="000000"/>
                <w:sz w:val="23"/>
                <w:szCs w:val="23"/>
                <w:lang w:eastAsia="en-IN"/>
              </w:rPr>
            </w:pPr>
            <w:r w:rsidRPr="00FC346C">
              <w:rPr>
                <w:rFonts w:ascii="Times New Roman" w:eastAsia="Times New Roman" w:hAnsi="Times New Roman" w:cs="Times New Roman"/>
                <w:b/>
                <w:bCs/>
                <w:color w:val="000000"/>
                <w:sz w:val="23"/>
                <w:szCs w:val="23"/>
                <w:lang w:eastAsia="en-IN"/>
              </w:rPr>
              <w:t>10-Year CAGR</w:t>
            </w:r>
          </w:p>
        </w:tc>
        <w:tc>
          <w:tcPr>
            <w:tcW w:w="775" w:type="pct"/>
            <w:shd w:val="clear" w:color="auto" w:fill="auto"/>
            <w:noWrap/>
            <w:vAlign w:val="center"/>
          </w:tcPr>
          <w:p w14:paraId="444F9AB1"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01-Apr-13</w:t>
            </w:r>
          </w:p>
        </w:tc>
        <w:tc>
          <w:tcPr>
            <w:tcW w:w="762" w:type="pct"/>
            <w:shd w:val="clear" w:color="auto" w:fill="auto"/>
            <w:noWrap/>
            <w:vAlign w:val="center"/>
          </w:tcPr>
          <w:p w14:paraId="3CEE4D6B"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18891</w:t>
            </w:r>
          </w:p>
        </w:tc>
        <w:tc>
          <w:tcPr>
            <w:tcW w:w="725" w:type="pct"/>
            <w:shd w:val="clear" w:color="auto" w:fill="auto"/>
            <w:noWrap/>
            <w:vAlign w:val="center"/>
          </w:tcPr>
          <w:p w14:paraId="1D1CE8E6"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31-Mar-23</w:t>
            </w:r>
          </w:p>
        </w:tc>
        <w:tc>
          <w:tcPr>
            <w:tcW w:w="762" w:type="pct"/>
            <w:shd w:val="clear" w:color="auto" w:fill="auto"/>
            <w:noWrap/>
            <w:vAlign w:val="center"/>
          </w:tcPr>
          <w:p w14:paraId="791F9006"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58992</w:t>
            </w:r>
          </w:p>
        </w:tc>
        <w:tc>
          <w:tcPr>
            <w:tcW w:w="1158" w:type="pct"/>
            <w:shd w:val="clear" w:color="auto" w:fill="auto"/>
            <w:noWrap/>
            <w:vAlign w:val="center"/>
          </w:tcPr>
          <w:p w14:paraId="4AE53987"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13.49%</w:t>
            </w:r>
          </w:p>
        </w:tc>
      </w:tr>
      <w:tr w:rsidR="00F372CC" w:rsidRPr="00FC346C" w14:paraId="0514DFDD" w14:textId="77777777" w:rsidTr="00F372CC">
        <w:trPr>
          <w:trHeight w:val="282"/>
        </w:trPr>
        <w:tc>
          <w:tcPr>
            <w:tcW w:w="817" w:type="pct"/>
            <w:shd w:val="clear" w:color="auto" w:fill="auto"/>
            <w:noWrap/>
            <w:vAlign w:val="center"/>
          </w:tcPr>
          <w:p w14:paraId="71A0D918" w14:textId="77777777" w:rsidR="00F372CC" w:rsidRPr="00FC346C" w:rsidRDefault="00F372CC" w:rsidP="00F372CC">
            <w:pPr>
              <w:spacing w:after="0" w:line="240" w:lineRule="auto"/>
              <w:jc w:val="center"/>
              <w:rPr>
                <w:rFonts w:ascii="Times New Roman" w:eastAsia="Times New Roman" w:hAnsi="Times New Roman" w:cs="Times New Roman"/>
                <w:b/>
                <w:bCs/>
                <w:color w:val="000000"/>
                <w:sz w:val="23"/>
                <w:szCs w:val="23"/>
                <w:lang w:eastAsia="en-IN"/>
              </w:rPr>
            </w:pPr>
            <w:r w:rsidRPr="00FC346C">
              <w:rPr>
                <w:rFonts w:ascii="Times New Roman" w:eastAsia="Times New Roman" w:hAnsi="Times New Roman" w:cs="Times New Roman"/>
                <w:b/>
                <w:bCs/>
                <w:color w:val="000000"/>
                <w:sz w:val="23"/>
                <w:szCs w:val="23"/>
                <w:lang w:eastAsia="en-IN"/>
              </w:rPr>
              <w:t>15-Year CAGR</w:t>
            </w:r>
          </w:p>
        </w:tc>
        <w:tc>
          <w:tcPr>
            <w:tcW w:w="775" w:type="pct"/>
            <w:shd w:val="clear" w:color="auto" w:fill="auto"/>
            <w:noWrap/>
            <w:vAlign w:val="center"/>
          </w:tcPr>
          <w:p w14:paraId="42B56DEC"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01-Apr-08</w:t>
            </w:r>
          </w:p>
        </w:tc>
        <w:tc>
          <w:tcPr>
            <w:tcW w:w="762" w:type="pct"/>
            <w:shd w:val="clear" w:color="auto" w:fill="auto"/>
            <w:noWrap/>
            <w:vAlign w:val="center"/>
          </w:tcPr>
          <w:p w14:paraId="4546C87B"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15772</w:t>
            </w:r>
          </w:p>
        </w:tc>
        <w:tc>
          <w:tcPr>
            <w:tcW w:w="725" w:type="pct"/>
            <w:shd w:val="clear" w:color="auto" w:fill="auto"/>
            <w:noWrap/>
            <w:vAlign w:val="center"/>
          </w:tcPr>
          <w:p w14:paraId="4785F70B"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31-Mar-23</w:t>
            </w:r>
          </w:p>
        </w:tc>
        <w:tc>
          <w:tcPr>
            <w:tcW w:w="762" w:type="pct"/>
            <w:shd w:val="clear" w:color="auto" w:fill="auto"/>
            <w:noWrap/>
            <w:vAlign w:val="center"/>
          </w:tcPr>
          <w:p w14:paraId="79632B19"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58992</w:t>
            </w:r>
          </w:p>
        </w:tc>
        <w:tc>
          <w:tcPr>
            <w:tcW w:w="1158" w:type="pct"/>
            <w:shd w:val="clear" w:color="auto" w:fill="auto"/>
            <w:noWrap/>
            <w:vAlign w:val="center"/>
          </w:tcPr>
          <w:p w14:paraId="6C795092" w14:textId="77777777" w:rsidR="00F372CC" w:rsidRPr="00FC346C" w:rsidRDefault="00F372CC" w:rsidP="00F372CC">
            <w:pPr>
              <w:spacing w:after="0" w:line="240" w:lineRule="auto"/>
              <w:jc w:val="center"/>
              <w:rPr>
                <w:rFonts w:ascii="Times New Roman" w:eastAsia="Times New Roman" w:hAnsi="Times New Roman" w:cs="Times New Roman"/>
                <w:color w:val="000000"/>
                <w:sz w:val="23"/>
                <w:szCs w:val="23"/>
                <w:lang w:eastAsia="en-IN"/>
              </w:rPr>
            </w:pPr>
            <w:r w:rsidRPr="00FC346C">
              <w:rPr>
                <w:rFonts w:ascii="Times New Roman" w:eastAsia="Times New Roman" w:hAnsi="Times New Roman" w:cs="Times New Roman"/>
                <w:color w:val="000000"/>
                <w:sz w:val="23"/>
                <w:szCs w:val="23"/>
                <w:lang w:eastAsia="en-IN"/>
              </w:rPr>
              <w:t>9.88%</w:t>
            </w:r>
          </w:p>
        </w:tc>
      </w:tr>
    </w:tbl>
    <w:p w14:paraId="0CDCC747" w14:textId="77777777" w:rsidR="00F372CC" w:rsidRPr="00FC346C" w:rsidRDefault="00F372CC" w:rsidP="00F372CC">
      <w:pPr>
        <w:pStyle w:val="Default"/>
        <w:spacing w:line="276" w:lineRule="auto"/>
        <w:jc w:val="both"/>
        <w:rPr>
          <w:rFonts w:ascii="Times New Roman" w:hAnsi="Times New Roman" w:cs="Times New Roman"/>
          <w:sz w:val="23"/>
          <w:szCs w:val="23"/>
        </w:rPr>
      </w:pPr>
    </w:p>
    <w:p w14:paraId="0CD5A5CB" w14:textId="77777777" w:rsidR="00F372CC" w:rsidRPr="00FC346C" w:rsidRDefault="00F372CC" w:rsidP="00F372CC">
      <w:pPr>
        <w:pStyle w:val="Default"/>
        <w:spacing w:line="276" w:lineRule="auto"/>
        <w:jc w:val="both"/>
        <w:rPr>
          <w:rFonts w:ascii="Times New Roman" w:hAnsi="Times New Roman" w:cs="Times New Roman"/>
          <w:sz w:val="23"/>
          <w:szCs w:val="23"/>
        </w:rPr>
      </w:pPr>
    </w:p>
    <w:p w14:paraId="7B461CA8" w14:textId="77777777" w:rsidR="00F372CC" w:rsidRPr="00FC346C" w:rsidRDefault="00F372CC" w:rsidP="00F372CC">
      <w:pPr>
        <w:rPr>
          <w:rFonts w:ascii="Times New Roman" w:hAnsi="Times New Roman" w:cs="Times New Roman"/>
          <w:color w:val="000000"/>
          <w:sz w:val="23"/>
          <w:szCs w:val="23"/>
        </w:rPr>
      </w:pPr>
      <w:r w:rsidRPr="00FC346C">
        <w:rPr>
          <w:rFonts w:ascii="Times New Roman" w:hAnsi="Times New Roman" w:cs="Times New Roman"/>
          <w:sz w:val="23"/>
          <w:szCs w:val="23"/>
        </w:rPr>
        <w:br w:type="page"/>
      </w:r>
    </w:p>
    <w:p w14:paraId="101CD13B" w14:textId="77777777" w:rsidR="001260E8" w:rsidRPr="00FC346C" w:rsidRDefault="001260E8" w:rsidP="00352DD7">
      <w:pPr>
        <w:pStyle w:val="ListParagraph"/>
        <w:spacing w:after="0" w:line="360" w:lineRule="auto"/>
        <w:rPr>
          <w:rFonts w:ascii="Times New Roman" w:hAnsi="Times New Roman" w:cs="Times New Roman"/>
          <w:sz w:val="23"/>
          <w:szCs w:val="23"/>
        </w:rPr>
        <w:sectPr w:rsidR="001260E8" w:rsidRPr="00FC346C">
          <w:footerReference w:type="default" r:id="rId10"/>
          <w:pgSz w:w="11906" w:h="16838"/>
          <w:pgMar w:top="1440" w:right="1440" w:bottom="1440" w:left="1440" w:header="708" w:footer="708" w:gutter="0"/>
          <w:cols w:space="708"/>
          <w:docGrid w:linePitch="360"/>
        </w:sectPr>
      </w:pPr>
    </w:p>
    <w:p w14:paraId="2DB8FD20" w14:textId="65D80447" w:rsidR="001260E8" w:rsidRPr="00FC346C" w:rsidRDefault="00AE7E0B" w:rsidP="004D29B5">
      <w:pPr>
        <w:pStyle w:val="Default"/>
        <w:spacing w:after="240" w:line="276" w:lineRule="auto"/>
        <w:ind w:hanging="567"/>
        <w:jc w:val="center"/>
        <w:rPr>
          <w:rFonts w:ascii="Times New Roman" w:hAnsi="Times New Roman" w:cs="Times New Roman"/>
          <w:b/>
          <w:sz w:val="23"/>
          <w:szCs w:val="23"/>
          <w:u w:val="single"/>
        </w:rPr>
      </w:pPr>
      <w:r w:rsidRPr="00FC346C">
        <w:rPr>
          <w:rFonts w:ascii="Times New Roman" w:hAnsi="Times New Roman" w:cs="Times New Roman"/>
          <w:sz w:val="23"/>
          <w:szCs w:val="23"/>
          <w:lang w:val="en-US"/>
        </w:rPr>
        <w:t xml:space="preserve"> </w:t>
      </w:r>
      <w:r w:rsidR="005D5A10" w:rsidRPr="00FC346C">
        <w:rPr>
          <w:rFonts w:ascii="Times New Roman" w:hAnsi="Times New Roman" w:cs="Times New Roman"/>
          <w:sz w:val="23"/>
          <w:szCs w:val="23"/>
          <w:lang w:val="en-US"/>
        </w:rPr>
        <w:t xml:space="preserve"> </w:t>
      </w:r>
      <w:r w:rsidR="005160CA" w:rsidRPr="00FC346C">
        <w:rPr>
          <w:rFonts w:ascii="Times New Roman" w:hAnsi="Times New Roman" w:cs="Times New Roman"/>
          <w:sz w:val="23"/>
          <w:szCs w:val="23"/>
          <w:lang w:val="en-US"/>
        </w:rPr>
        <w:tab/>
      </w:r>
      <w:r w:rsidR="005160CA" w:rsidRPr="00FC346C">
        <w:rPr>
          <w:rFonts w:ascii="Times New Roman" w:hAnsi="Times New Roman" w:cs="Times New Roman"/>
          <w:sz w:val="23"/>
          <w:szCs w:val="23"/>
          <w:lang w:val="en-US"/>
        </w:rPr>
        <w:tab/>
      </w:r>
      <w:r w:rsidR="001260E8" w:rsidRPr="00FC346C">
        <w:rPr>
          <w:rFonts w:ascii="Times New Roman" w:hAnsi="Times New Roman" w:cs="Times New Roman"/>
          <w:b/>
          <w:sz w:val="23"/>
          <w:szCs w:val="23"/>
          <w:u w:val="single"/>
        </w:rPr>
        <w:t>Annexure-II: Tariff Assessment of TBCB projects by this Hon’ble Commission</w:t>
      </w:r>
    </w:p>
    <w:p w14:paraId="6EEB9FA4" w14:textId="5009D75D" w:rsidR="004D29B5" w:rsidRPr="00FC346C" w:rsidRDefault="004D29B5" w:rsidP="001260E8">
      <w:pPr>
        <w:pStyle w:val="Default"/>
        <w:spacing w:after="240" w:line="276" w:lineRule="auto"/>
        <w:jc w:val="center"/>
        <w:rPr>
          <w:rFonts w:ascii="Times New Roman" w:hAnsi="Times New Roman" w:cs="Times New Roman"/>
          <w:b/>
          <w:smallCaps/>
          <w:sz w:val="23"/>
          <w:szCs w:val="23"/>
        </w:rPr>
      </w:pPr>
      <w:r w:rsidRPr="00FC346C">
        <w:rPr>
          <w:rFonts w:ascii="Times New Roman" w:hAnsi="Times New Roman" w:cs="Times New Roman"/>
          <w:noProof/>
          <w:sz w:val="23"/>
          <w:szCs w:val="23"/>
          <w:lang w:eastAsia="en-IN"/>
        </w:rPr>
        <w:drawing>
          <wp:anchor distT="0" distB="0" distL="114300" distR="114300" simplePos="0" relativeHeight="251662336" behindDoc="1" locked="0" layoutInCell="1" allowOverlap="1" wp14:anchorId="02743FEA" wp14:editId="604E5D0B">
            <wp:simplePos x="0" y="0"/>
            <wp:positionH relativeFrom="margin">
              <wp:align>center</wp:align>
            </wp:positionH>
            <wp:positionV relativeFrom="paragraph">
              <wp:posOffset>535940</wp:posOffset>
            </wp:positionV>
            <wp:extent cx="8455660" cy="4613910"/>
            <wp:effectExtent l="0" t="0" r="254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1).png"/>
                    <pic:cNvPicPr/>
                  </pic:nvPicPr>
                  <pic:blipFill rotWithShape="1">
                    <a:blip r:embed="rId11" cstate="print">
                      <a:extLst>
                        <a:ext uri="{28A0092B-C50C-407E-A947-70E740481C1C}">
                          <a14:useLocalDpi xmlns:a14="http://schemas.microsoft.com/office/drawing/2010/main" val="0"/>
                        </a:ext>
                      </a:extLst>
                    </a:blip>
                    <a:srcRect l="23327" t="19340" r="5584" b="11682"/>
                    <a:stretch/>
                  </pic:blipFill>
                  <pic:spPr bwMode="auto">
                    <a:xfrm>
                      <a:off x="0" y="0"/>
                      <a:ext cx="8455660" cy="4613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C346C">
        <w:rPr>
          <w:rFonts w:ascii="Times New Roman" w:hAnsi="Times New Roman" w:cs="Times New Roman"/>
          <w:b/>
          <w:sz w:val="23"/>
          <w:szCs w:val="23"/>
        </w:rPr>
        <w:t>G</w:t>
      </w:r>
      <w:r w:rsidRPr="00FC346C">
        <w:rPr>
          <w:rFonts w:ascii="Times New Roman" w:hAnsi="Times New Roman" w:cs="Times New Roman"/>
          <w:b/>
          <w:smallCaps/>
          <w:sz w:val="23"/>
          <w:szCs w:val="23"/>
        </w:rPr>
        <w:t>raphical Representation</w:t>
      </w:r>
    </w:p>
    <w:p w14:paraId="2E964F0F" w14:textId="77777777" w:rsidR="004D29B5" w:rsidRPr="00FC346C" w:rsidRDefault="004D29B5" w:rsidP="001260E8">
      <w:pPr>
        <w:pStyle w:val="Default"/>
        <w:spacing w:after="240" w:line="276" w:lineRule="auto"/>
        <w:jc w:val="center"/>
        <w:rPr>
          <w:rFonts w:ascii="Times New Roman" w:hAnsi="Times New Roman" w:cs="Times New Roman"/>
          <w:sz w:val="23"/>
          <w:szCs w:val="23"/>
        </w:rPr>
      </w:pPr>
    </w:p>
    <w:p w14:paraId="0D83A410" w14:textId="4B1F6659" w:rsidR="001260E8" w:rsidRPr="00FC346C" w:rsidRDefault="005160CA" w:rsidP="001260E8">
      <w:pPr>
        <w:pStyle w:val="ListParagraph"/>
        <w:spacing w:after="0" w:line="360" w:lineRule="auto"/>
        <w:rPr>
          <w:rFonts w:ascii="Times New Roman" w:hAnsi="Times New Roman" w:cs="Times New Roman"/>
          <w:sz w:val="23"/>
          <w:szCs w:val="23"/>
          <w:lang w:val="en-US"/>
        </w:rPr>
      </w:pPr>
      <w:r w:rsidRPr="00FC346C">
        <w:rPr>
          <w:rFonts w:ascii="Times New Roman" w:hAnsi="Times New Roman" w:cs="Times New Roman"/>
          <w:sz w:val="23"/>
          <w:szCs w:val="23"/>
          <w:lang w:val="en-US"/>
        </w:rPr>
        <w:tab/>
      </w:r>
    </w:p>
    <w:p w14:paraId="1C9A0739" w14:textId="77777777" w:rsidR="001260E8" w:rsidRPr="00FC346C" w:rsidRDefault="001260E8" w:rsidP="001260E8">
      <w:pPr>
        <w:pStyle w:val="ListParagraph"/>
        <w:spacing w:after="0" w:line="360" w:lineRule="auto"/>
        <w:rPr>
          <w:rFonts w:ascii="Times New Roman" w:hAnsi="Times New Roman" w:cs="Times New Roman"/>
          <w:sz w:val="23"/>
          <w:szCs w:val="23"/>
          <w:lang w:val="en-US"/>
        </w:rPr>
        <w:sectPr w:rsidR="001260E8" w:rsidRPr="00FC346C" w:rsidSect="001260E8">
          <w:pgSz w:w="16838" w:h="11906" w:orient="landscape"/>
          <w:pgMar w:top="1440" w:right="1440" w:bottom="1440" w:left="1440" w:header="708" w:footer="708" w:gutter="0"/>
          <w:cols w:space="708"/>
          <w:docGrid w:linePitch="360"/>
        </w:sectPr>
      </w:pPr>
    </w:p>
    <w:p w14:paraId="48DE411E" w14:textId="3A3E1D94" w:rsidR="001260E8" w:rsidRPr="00FC346C" w:rsidRDefault="004D29B5" w:rsidP="004D29B5">
      <w:pPr>
        <w:pStyle w:val="Default"/>
        <w:spacing w:after="240" w:line="276" w:lineRule="auto"/>
        <w:jc w:val="center"/>
        <w:rPr>
          <w:rFonts w:ascii="Times New Roman" w:hAnsi="Times New Roman" w:cs="Times New Roman"/>
          <w:b/>
          <w:smallCaps/>
          <w:sz w:val="23"/>
          <w:szCs w:val="23"/>
        </w:rPr>
      </w:pPr>
      <w:r w:rsidRPr="00FC346C">
        <w:rPr>
          <w:rFonts w:ascii="Times New Roman" w:hAnsi="Times New Roman" w:cs="Times New Roman"/>
          <w:b/>
          <w:smallCaps/>
          <w:sz w:val="23"/>
          <w:szCs w:val="23"/>
        </w:rPr>
        <w:t>Detailed Data</w:t>
      </w:r>
      <w:r w:rsidR="003C2A80">
        <w:rPr>
          <w:rFonts w:ascii="Times New Roman" w:hAnsi="Times New Roman" w:cs="Times New Roman"/>
          <w:b/>
          <w:smallCaps/>
          <w:sz w:val="23"/>
          <w:szCs w:val="23"/>
        </w:rPr>
        <w:t>*</w:t>
      </w:r>
    </w:p>
    <w:tbl>
      <w:tblPr>
        <w:tblStyle w:val="TableGrid"/>
        <w:tblW w:w="5646" w:type="pct"/>
        <w:tblInd w:w="-289" w:type="dxa"/>
        <w:tblLayout w:type="fixed"/>
        <w:tblLook w:val="04A0" w:firstRow="1" w:lastRow="0" w:firstColumn="1" w:lastColumn="0" w:noHBand="0" w:noVBand="1"/>
      </w:tblPr>
      <w:tblGrid>
        <w:gridCol w:w="553"/>
        <w:gridCol w:w="1570"/>
        <w:gridCol w:w="1847"/>
        <w:gridCol w:w="992"/>
        <w:gridCol w:w="1275"/>
        <w:gridCol w:w="851"/>
        <w:gridCol w:w="992"/>
        <w:gridCol w:w="1136"/>
        <w:gridCol w:w="965"/>
      </w:tblGrid>
      <w:tr w:rsidR="006B1708" w:rsidRPr="00FC346C" w14:paraId="16625F64" w14:textId="77777777" w:rsidTr="006B1708">
        <w:trPr>
          <w:trHeight w:val="557"/>
          <w:tblHeader/>
        </w:trPr>
        <w:tc>
          <w:tcPr>
            <w:tcW w:w="272" w:type="pct"/>
            <w:shd w:val="clear" w:color="auto" w:fill="E7E6E6" w:themeFill="background2"/>
            <w:vAlign w:val="center"/>
          </w:tcPr>
          <w:p w14:paraId="1174F897" w14:textId="77777777" w:rsidR="006B1708" w:rsidRPr="00FC346C" w:rsidRDefault="006B1708" w:rsidP="004720FA">
            <w:pPr>
              <w:spacing w:line="360" w:lineRule="auto"/>
              <w:jc w:val="center"/>
              <w:rPr>
                <w:rFonts w:ascii="Times New Roman" w:hAnsi="Times New Roman" w:cs="Times New Roman"/>
                <w:b/>
                <w:bCs/>
              </w:rPr>
            </w:pPr>
            <w:r w:rsidRPr="00FC346C">
              <w:rPr>
                <w:rFonts w:ascii="Times New Roman" w:hAnsi="Times New Roman" w:cs="Times New Roman"/>
                <w:b/>
                <w:bCs/>
              </w:rPr>
              <w:t>S No.</w:t>
            </w:r>
          </w:p>
        </w:tc>
        <w:tc>
          <w:tcPr>
            <w:tcW w:w="771" w:type="pct"/>
            <w:shd w:val="clear" w:color="auto" w:fill="E7E6E6" w:themeFill="background2"/>
            <w:vAlign w:val="center"/>
          </w:tcPr>
          <w:p w14:paraId="4F71606B" w14:textId="77777777" w:rsidR="006B1708" w:rsidRPr="00FC346C" w:rsidRDefault="006B1708" w:rsidP="004720FA">
            <w:pPr>
              <w:jc w:val="center"/>
              <w:rPr>
                <w:rFonts w:ascii="Times New Roman" w:hAnsi="Times New Roman" w:cs="Times New Roman"/>
                <w:b/>
                <w:bCs/>
              </w:rPr>
            </w:pPr>
            <w:r w:rsidRPr="00FC346C">
              <w:rPr>
                <w:rFonts w:ascii="Times New Roman" w:hAnsi="Times New Roman" w:cs="Times New Roman"/>
                <w:b/>
                <w:bCs/>
              </w:rPr>
              <w:t>SPV</w:t>
            </w:r>
          </w:p>
        </w:tc>
        <w:tc>
          <w:tcPr>
            <w:tcW w:w="907" w:type="pct"/>
            <w:shd w:val="clear" w:color="auto" w:fill="E7E6E6" w:themeFill="background2"/>
            <w:vAlign w:val="center"/>
          </w:tcPr>
          <w:p w14:paraId="4B8CBF1D" w14:textId="77777777" w:rsidR="006B1708" w:rsidRPr="00FC346C" w:rsidRDefault="006B1708" w:rsidP="004720FA">
            <w:pPr>
              <w:jc w:val="center"/>
              <w:rPr>
                <w:rFonts w:ascii="Times New Roman" w:hAnsi="Times New Roman" w:cs="Times New Roman"/>
                <w:b/>
                <w:bCs/>
              </w:rPr>
            </w:pPr>
            <w:r w:rsidRPr="00FC346C">
              <w:rPr>
                <w:rFonts w:ascii="Times New Roman" w:hAnsi="Times New Roman" w:cs="Times New Roman"/>
                <w:b/>
                <w:bCs/>
              </w:rPr>
              <w:t>NAME OF PROJECT</w:t>
            </w:r>
          </w:p>
        </w:tc>
        <w:tc>
          <w:tcPr>
            <w:tcW w:w="487" w:type="pct"/>
            <w:shd w:val="clear" w:color="auto" w:fill="E7E6E6" w:themeFill="background2"/>
            <w:vAlign w:val="center"/>
          </w:tcPr>
          <w:p w14:paraId="718C97FE" w14:textId="77777777" w:rsidR="006B1708" w:rsidRPr="00FC346C" w:rsidRDefault="006B1708" w:rsidP="004720FA">
            <w:pPr>
              <w:jc w:val="center"/>
              <w:rPr>
                <w:rFonts w:ascii="Times New Roman" w:hAnsi="Times New Roman" w:cs="Times New Roman"/>
                <w:b/>
                <w:bCs/>
              </w:rPr>
            </w:pPr>
            <w:r w:rsidRPr="00FC346C">
              <w:rPr>
                <w:rFonts w:ascii="Times New Roman" w:hAnsi="Times New Roman" w:cs="Times New Roman"/>
                <w:b/>
                <w:bCs/>
              </w:rPr>
              <w:t>L1 BIDDER</w:t>
            </w:r>
          </w:p>
        </w:tc>
        <w:tc>
          <w:tcPr>
            <w:tcW w:w="626" w:type="pct"/>
            <w:shd w:val="clear" w:color="auto" w:fill="E7E6E6" w:themeFill="background2"/>
            <w:vAlign w:val="center"/>
          </w:tcPr>
          <w:p w14:paraId="39AFF105" w14:textId="77777777" w:rsidR="006B1708" w:rsidRPr="00FC346C" w:rsidRDefault="006B1708" w:rsidP="004720FA">
            <w:pPr>
              <w:jc w:val="center"/>
              <w:rPr>
                <w:rFonts w:ascii="Times New Roman" w:hAnsi="Times New Roman" w:cs="Times New Roman"/>
                <w:b/>
                <w:bCs/>
              </w:rPr>
            </w:pPr>
            <w:r w:rsidRPr="00FC346C">
              <w:rPr>
                <w:rFonts w:ascii="Times New Roman" w:hAnsi="Times New Roman" w:cs="Times New Roman"/>
                <w:b/>
                <w:bCs/>
              </w:rPr>
              <w:t>APPROX. PROJECT COST (Cr.)</w:t>
            </w:r>
          </w:p>
        </w:tc>
        <w:tc>
          <w:tcPr>
            <w:tcW w:w="418" w:type="pct"/>
            <w:shd w:val="clear" w:color="auto" w:fill="E7E6E6" w:themeFill="background2"/>
            <w:vAlign w:val="center"/>
          </w:tcPr>
          <w:p w14:paraId="2DBE2F80" w14:textId="77777777" w:rsidR="006B1708" w:rsidRPr="00FC346C" w:rsidRDefault="006B1708" w:rsidP="004720FA">
            <w:pPr>
              <w:jc w:val="center"/>
              <w:rPr>
                <w:rFonts w:ascii="Times New Roman" w:hAnsi="Times New Roman" w:cs="Times New Roman"/>
                <w:b/>
                <w:bCs/>
              </w:rPr>
            </w:pPr>
            <w:r w:rsidRPr="00FC346C">
              <w:rPr>
                <w:rFonts w:ascii="Times New Roman" w:hAnsi="Times New Roman" w:cs="Times New Roman"/>
                <w:b/>
                <w:bCs/>
              </w:rPr>
              <w:t>L1 TARIFF (Cr.)</w:t>
            </w:r>
          </w:p>
          <w:p w14:paraId="7430FD71" w14:textId="77777777" w:rsidR="006B1708" w:rsidRPr="00FC346C" w:rsidRDefault="006B1708" w:rsidP="004720FA">
            <w:pPr>
              <w:jc w:val="center"/>
              <w:rPr>
                <w:rFonts w:ascii="Times New Roman" w:hAnsi="Times New Roman" w:cs="Times New Roman"/>
                <w:b/>
                <w:bCs/>
              </w:rPr>
            </w:pPr>
            <w:r w:rsidRPr="00FC346C">
              <w:rPr>
                <w:rFonts w:ascii="Times New Roman" w:hAnsi="Times New Roman" w:cs="Times New Roman"/>
                <w:b/>
                <w:bCs/>
              </w:rPr>
              <w:t>per Annum</w:t>
            </w:r>
          </w:p>
        </w:tc>
        <w:tc>
          <w:tcPr>
            <w:tcW w:w="487" w:type="pct"/>
            <w:shd w:val="clear" w:color="auto" w:fill="E7E6E6" w:themeFill="background2"/>
            <w:vAlign w:val="center"/>
          </w:tcPr>
          <w:p w14:paraId="1677BDE2" w14:textId="77777777" w:rsidR="006B1708" w:rsidRPr="00FC346C" w:rsidRDefault="006B1708" w:rsidP="004720FA">
            <w:pPr>
              <w:jc w:val="center"/>
              <w:rPr>
                <w:rFonts w:ascii="Times New Roman" w:hAnsi="Times New Roman" w:cs="Times New Roman"/>
                <w:b/>
                <w:bCs/>
              </w:rPr>
            </w:pPr>
            <w:r w:rsidRPr="00FC346C">
              <w:rPr>
                <w:rFonts w:ascii="Times New Roman" w:hAnsi="Times New Roman" w:cs="Times New Roman"/>
                <w:b/>
                <w:bCs/>
              </w:rPr>
              <w:t>CERC Tariff</w:t>
            </w:r>
          </w:p>
        </w:tc>
        <w:tc>
          <w:tcPr>
            <w:tcW w:w="558" w:type="pct"/>
            <w:shd w:val="clear" w:color="auto" w:fill="E7E6E6" w:themeFill="background2"/>
            <w:vAlign w:val="center"/>
          </w:tcPr>
          <w:p w14:paraId="0ABC34E3" w14:textId="77777777" w:rsidR="006B1708" w:rsidRPr="00FC346C" w:rsidRDefault="006B1708" w:rsidP="004720FA">
            <w:pPr>
              <w:jc w:val="center"/>
              <w:rPr>
                <w:rFonts w:ascii="Times New Roman" w:hAnsi="Times New Roman" w:cs="Times New Roman"/>
                <w:b/>
                <w:bCs/>
              </w:rPr>
            </w:pPr>
            <w:r w:rsidRPr="00FC346C">
              <w:rPr>
                <w:rFonts w:ascii="Times New Roman" w:hAnsi="Times New Roman" w:cs="Times New Roman"/>
                <w:b/>
                <w:bCs/>
              </w:rPr>
              <w:t>Difference between CERC tariff &amp; L1 tariff (TBCB) (Cr.)</w:t>
            </w:r>
          </w:p>
        </w:tc>
        <w:tc>
          <w:tcPr>
            <w:tcW w:w="474" w:type="pct"/>
            <w:shd w:val="clear" w:color="auto" w:fill="E7E6E6" w:themeFill="background2"/>
          </w:tcPr>
          <w:p w14:paraId="71459B43" w14:textId="77777777" w:rsidR="006B1708" w:rsidRPr="00FC346C" w:rsidRDefault="006B1708" w:rsidP="004720FA">
            <w:pPr>
              <w:jc w:val="center"/>
              <w:rPr>
                <w:rFonts w:ascii="Times New Roman" w:hAnsi="Times New Roman" w:cs="Times New Roman"/>
                <w:b/>
                <w:bCs/>
              </w:rPr>
            </w:pPr>
            <w:r w:rsidRPr="00FC346C">
              <w:rPr>
                <w:rFonts w:ascii="Times New Roman" w:hAnsi="Times New Roman" w:cs="Times New Roman"/>
                <w:b/>
                <w:bCs/>
              </w:rPr>
              <w:t>Reduction in tariff w.r.t tariff worked out by CERC (%)</w:t>
            </w:r>
          </w:p>
        </w:tc>
      </w:tr>
      <w:tr w:rsidR="006B1708" w:rsidRPr="00FC346C" w14:paraId="09A5980C" w14:textId="77777777" w:rsidTr="006B1708">
        <w:tc>
          <w:tcPr>
            <w:tcW w:w="272" w:type="pct"/>
            <w:vAlign w:val="center"/>
          </w:tcPr>
          <w:p w14:paraId="56F23128" w14:textId="77777777" w:rsidR="006B1708" w:rsidRPr="00FC346C" w:rsidRDefault="006B1708" w:rsidP="004720FA">
            <w:pPr>
              <w:spacing w:line="360" w:lineRule="auto"/>
              <w:jc w:val="center"/>
              <w:rPr>
                <w:rFonts w:ascii="Times New Roman" w:hAnsi="Times New Roman" w:cs="Times New Roman"/>
              </w:rPr>
            </w:pPr>
            <w:r w:rsidRPr="00FC346C">
              <w:rPr>
                <w:rFonts w:ascii="Times New Roman" w:hAnsi="Times New Roman" w:cs="Times New Roman"/>
              </w:rPr>
              <w:t>1</w:t>
            </w:r>
          </w:p>
        </w:tc>
        <w:tc>
          <w:tcPr>
            <w:tcW w:w="771" w:type="pct"/>
            <w:vAlign w:val="center"/>
          </w:tcPr>
          <w:p w14:paraId="24549D5B" w14:textId="77777777" w:rsidR="006B1708" w:rsidRPr="00FC346C" w:rsidRDefault="006B1708" w:rsidP="004720FA">
            <w:pPr>
              <w:jc w:val="center"/>
              <w:rPr>
                <w:rFonts w:ascii="Times New Roman" w:hAnsi="Times New Roman" w:cs="Times New Roman"/>
                <w:color w:val="000000"/>
              </w:rPr>
            </w:pPr>
            <w:proofErr w:type="spellStart"/>
            <w:r w:rsidRPr="00FC346C">
              <w:rPr>
                <w:rFonts w:ascii="Times New Roman" w:hAnsi="Times New Roman" w:cs="Times New Roman"/>
                <w:color w:val="000000"/>
              </w:rPr>
              <w:t>Powergrid</w:t>
            </w:r>
            <w:proofErr w:type="spellEnd"/>
            <w:r w:rsidRPr="00FC346C">
              <w:rPr>
                <w:rFonts w:ascii="Times New Roman" w:hAnsi="Times New Roman" w:cs="Times New Roman"/>
                <w:color w:val="000000"/>
              </w:rPr>
              <w:t xml:space="preserve"> Southern Interconnector</w:t>
            </w:r>
            <w:r w:rsidRPr="00FC346C">
              <w:rPr>
                <w:rFonts w:ascii="Times New Roman" w:hAnsi="Times New Roman" w:cs="Times New Roman"/>
                <w:color w:val="000000"/>
              </w:rPr>
              <w:br/>
              <w:t>Transmission Limited</w:t>
            </w:r>
          </w:p>
        </w:tc>
        <w:tc>
          <w:tcPr>
            <w:tcW w:w="907" w:type="pct"/>
            <w:vAlign w:val="center"/>
          </w:tcPr>
          <w:p w14:paraId="5D256D05" w14:textId="77777777" w:rsidR="006B1708" w:rsidRPr="00FC346C" w:rsidRDefault="006B1708" w:rsidP="004720FA">
            <w:pPr>
              <w:jc w:val="center"/>
              <w:rPr>
                <w:rFonts w:ascii="Times New Roman" w:hAnsi="Times New Roman" w:cs="Times New Roman"/>
              </w:rPr>
            </w:pPr>
            <w:r w:rsidRPr="00FC346C">
              <w:rPr>
                <w:rFonts w:ascii="Times New Roman" w:hAnsi="Times New Roman" w:cs="Times New Roman"/>
              </w:rPr>
              <w:t xml:space="preserve">Strengthening of Transmission System beyond </w:t>
            </w:r>
            <w:proofErr w:type="spellStart"/>
            <w:r w:rsidRPr="00FC346C">
              <w:rPr>
                <w:rFonts w:ascii="Times New Roman" w:hAnsi="Times New Roman" w:cs="Times New Roman"/>
              </w:rPr>
              <w:t>Vemagiri</w:t>
            </w:r>
            <w:proofErr w:type="spellEnd"/>
          </w:p>
        </w:tc>
        <w:tc>
          <w:tcPr>
            <w:tcW w:w="487" w:type="pct"/>
            <w:vAlign w:val="center"/>
          </w:tcPr>
          <w:p w14:paraId="7FD44529"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PGCIL</w:t>
            </w:r>
          </w:p>
        </w:tc>
        <w:tc>
          <w:tcPr>
            <w:tcW w:w="626" w:type="pct"/>
            <w:vAlign w:val="center"/>
          </w:tcPr>
          <w:p w14:paraId="0D6E28C3"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5000.00</w:t>
            </w:r>
          </w:p>
        </w:tc>
        <w:tc>
          <w:tcPr>
            <w:tcW w:w="418" w:type="pct"/>
            <w:vAlign w:val="center"/>
          </w:tcPr>
          <w:p w14:paraId="561E85D9"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359.30</w:t>
            </w:r>
          </w:p>
        </w:tc>
        <w:tc>
          <w:tcPr>
            <w:tcW w:w="487" w:type="pct"/>
            <w:vAlign w:val="center"/>
          </w:tcPr>
          <w:p w14:paraId="6C01BAD5"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762.60</w:t>
            </w:r>
          </w:p>
        </w:tc>
        <w:tc>
          <w:tcPr>
            <w:tcW w:w="558" w:type="pct"/>
            <w:vAlign w:val="center"/>
          </w:tcPr>
          <w:p w14:paraId="196977E4"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403.30</w:t>
            </w:r>
          </w:p>
        </w:tc>
        <w:tc>
          <w:tcPr>
            <w:tcW w:w="474" w:type="pct"/>
            <w:vAlign w:val="center"/>
          </w:tcPr>
          <w:p w14:paraId="7E2918B3"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52.88%</w:t>
            </w:r>
          </w:p>
        </w:tc>
      </w:tr>
      <w:tr w:rsidR="006B1708" w:rsidRPr="00FC346C" w14:paraId="43BE7409" w14:textId="77777777" w:rsidTr="006B1708">
        <w:tc>
          <w:tcPr>
            <w:tcW w:w="272" w:type="pct"/>
            <w:vAlign w:val="center"/>
          </w:tcPr>
          <w:p w14:paraId="30C6B224" w14:textId="77777777" w:rsidR="006B1708" w:rsidRPr="00FC346C" w:rsidRDefault="006B1708" w:rsidP="004720FA">
            <w:pPr>
              <w:spacing w:line="360" w:lineRule="auto"/>
              <w:jc w:val="center"/>
              <w:rPr>
                <w:rFonts w:ascii="Times New Roman" w:hAnsi="Times New Roman" w:cs="Times New Roman"/>
              </w:rPr>
            </w:pPr>
            <w:r w:rsidRPr="00FC346C">
              <w:rPr>
                <w:rFonts w:ascii="Times New Roman" w:hAnsi="Times New Roman" w:cs="Times New Roman"/>
              </w:rPr>
              <w:t>2</w:t>
            </w:r>
          </w:p>
        </w:tc>
        <w:tc>
          <w:tcPr>
            <w:tcW w:w="771" w:type="pct"/>
            <w:vAlign w:val="center"/>
          </w:tcPr>
          <w:p w14:paraId="51ACE83E" w14:textId="77777777" w:rsidR="006B1708" w:rsidRPr="00FC346C" w:rsidRDefault="006B1708" w:rsidP="004720FA">
            <w:pPr>
              <w:jc w:val="center"/>
              <w:rPr>
                <w:rFonts w:ascii="Times New Roman" w:hAnsi="Times New Roman" w:cs="Times New Roman"/>
                <w:color w:val="000000"/>
              </w:rPr>
            </w:pPr>
            <w:proofErr w:type="spellStart"/>
            <w:r w:rsidRPr="00FC346C">
              <w:rPr>
                <w:rFonts w:ascii="Times New Roman" w:hAnsi="Times New Roman" w:cs="Times New Roman"/>
                <w:color w:val="000000"/>
              </w:rPr>
              <w:t>Powergrid</w:t>
            </w:r>
            <w:proofErr w:type="spellEnd"/>
            <w:r w:rsidRPr="00FC346C">
              <w:rPr>
                <w:rFonts w:ascii="Times New Roman" w:hAnsi="Times New Roman" w:cs="Times New Roman"/>
                <w:color w:val="000000"/>
              </w:rPr>
              <w:t xml:space="preserve"> </w:t>
            </w:r>
            <w:proofErr w:type="spellStart"/>
            <w:r w:rsidRPr="00FC346C">
              <w:rPr>
                <w:rFonts w:ascii="Times New Roman" w:hAnsi="Times New Roman" w:cs="Times New Roman"/>
                <w:color w:val="000000"/>
              </w:rPr>
              <w:t>Mednipur</w:t>
            </w:r>
            <w:proofErr w:type="spellEnd"/>
            <w:r w:rsidRPr="00FC346C">
              <w:rPr>
                <w:rFonts w:ascii="Times New Roman" w:hAnsi="Times New Roman" w:cs="Times New Roman"/>
                <w:color w:val="000000"/>
              </w:rPr>
              <w:t>-Jeerat Transmission Limited</w:t>
            </w:r>
          </w:p>
        </w:tc>
        <w:tc>
          <w:tcPr>
            <w:tcW w:w="907" w:type="pct"/>
            <w:vAlign w:val="center"/>
          </w:tcPr>
          <w:p w14:paraId="71567234" w14:textId="77777777" w:rsidR="006B1708" w:rsidRPr="00FC346C" w:rsidRDefault="006B1708" w:rsidP="004720FA">
            <w:pPr>
              <w:jc w:val="center"/>
              <w:rPr>
                <w:rFonts w:ascii="Times New Roman" w:hAnsi="Times New Roman" w:cs="Times New Roman"/>
              </w:rPr>
            </w:pPr>
            <w:r w:rsidRPr="00FC346C">
              <w:rPr>
                <w:rFonts w:ascii="Times New Roman" w:hAnsi="Times New Roman" w:cs="Times New Roman"/>
              </w:rPr>
              <w:t>ERSS 18</w:t>
            </w:r>
          </w:p>
        </w:tc>
        <w:tc>
          <w:tcPr>
            <w:tcW w:w="487" w:type="pct"/>
            <w:vAlign w:val="center"/>
          </w:tcPr>
          <w:p w14:paraId="1C68335F"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PGCIL</w:t>
            </w:r>
          </w:p>
        </w:tc>
        <w:tc>
          <w:tcPr>
            <w:tcW w:w="626" w:type="pct"/>
            <w:vAlign w:val="center"/>
          </w:tcPr>
          <w:p w14:paraId="64878E5D"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3994.00</w:t>
            </w:r>
          </w:p>
        </w:tc>
        <w:tc>
          <w:tcPr>
            <w:tcW w:w="418" w:type="pct"/>
            <w:vAlign w:val="center"/>
          </w:tcPr>
          <w:p w14:paraId="3F6D713C"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498.70</w:t>
            </w:r>
          </w:p>
        </w:tc>
        <w:tc>
          <w:tcPr>
            <w:tcW w:w="487" w:type="pct"/>
            <w:vAlign w:val="center"/>
          </w:tcPr>
          <w:p w14:paraId="649DD067"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506.80</w:t>
            </w:r>
          </w:p>
        </w:tc>
        <w:tc>
          <w:tcPr>
            <w:tcW w:w="558" w:type="pct"/>
            <w:vAlign w:val="center"/>
          </w:tcPr>
          <w:p w14:paraId="1550F5CF"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8.10</w:t>
            </w:r>
          </w:p>
        </w:tc>
        <w:tc>
          <w:tcPr>
            <w:tcW w:w="474" w:type="pct"/>
            <w:vAlign w:val="center"/>
          </w:tcPr>
          <w:p w14:paraId="5DF2B960"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1.60%</w:t>
            </w:r>
          </w:p>
        </w:tc>
      </w:tr>
      <w:tr w:rsidR="006B1708" w:rsidRPr="00FC346C" w14:paraId="00962AD5" w14:textId="77777777" w:rsidTr="006B1708">
        <w:tc>
          <w:tcPr>
            <w:tcW w:w="272" w:type="pct"/>
            <w:vAlign w:val="center"/>
          </w:tcPr>
          <w:p w14:paraId="7C766724" w14:textId="77777777" w:rsidR="006B1708" w:rsidRPr="00FC346C" w:rsidRDefault="006B1708" w:rsidP="004720FA">
            <w:pPr>
              <w:spacing w:line="360" w:lineRule="auto"/>
              <w:jc w:val="center"/>
              <w:rPr>
                <w:rFonts w:ascii="Times New Roman" w:hAnsi="Times New Roman" w:cs="Times New Roman"/>
              </w:rPr>
            </w:pPr>
            <w:r w:rsidRPr="00FC346C">
              <w:rPr>
                <w:rFonts w:ascii="Times New Roman" w:hAnsi="Times New Roman" w:cs="Times New Roman"/>
              </w:rPr>
              <w:t>3</w:t>
            </w:r>
          </w:p>
        </w:tc>
        <w:tc>
          <w:tcPr>
            <w:tcW w:w="771" w:type="pct"/>
            <w:vAlign w:val="center"/>
          </w:tcPr>
          <w:p w14:paraId="655FC32B" w14:textId="77777777" w:rsidR="006B1708" w:rsidRPr="00FC346C" w:rsidRDefault="006B1708" w:rsidP="004720FA">
            <w:pPr>
              <w:jc w:val="center"/>
              <w:rPr>
                <w:rFonts w:ascii="Times New Roman" w:hAnsi="Times New Roman" w:cs="Times New Roman"/>
                <w:color w:val="000000"/>
              </w:rPr>
            </w:pPr>
            <w:proofErr w:type="spellStart"/>
            <w:r w:rsidRPr="00FC346C">
              <w:rPr>
                <w:rFonts w:ascii="Times New Roman" w:hAnsi="Times New Roman" w:cs="Times New Roman"/>
                <w:color w:val="000000"/>
              </w:rPr>
              <w:t>Powergrid</w:t>
            </w:r>
            <w:proofErr w:type="spellEnd"/>
            <w:r w:rsidRPr="00FC346C">
              <w:rPr>
                <w:rFonts w:ascii="Times New Roman" w:hAnsi="Times New Roman" w:cs="Times New Roman"/>
                <w:color w:val="000000"/>
              </w:rPr>
              <w:t xml:space="preserve"> </w:t>
            </w:r>
            <w:proofErr w:type="spellStart"/>
            <w:r w:rsidRPr="00FC346C">
              <w:rPr>
                <w:rFonts w:ascii="Times New Roman" w:hAnsi="Times New Roman" w:cs="Times New Roman"/>
                <w:color w:val="000000"/>
              </w:rPr>
              <w:t>Warora</w:t>
            </w:r>
            <w:proofErr w:type="spellEnd"/>
            <w:r w:rsidRPr="00FC346C">
              <w:rPr>
                <w:rFonts w:ascii="Times New Roman" w:hAnsi="Times New Roman" w:cs="Times New Roman"/>
                <w:color w:val="000000"/>
              </w:rPr>
              <w:t xml:space="preserve"> Transmission Ltd</w:t>
            </w:r>
          </w:p>
        </w:tc>
        <w:tc>
          <w:tcPr>
            <w:tcW w:w="907" w:type="pct"/>
            <w:vAlign w:val="center"/>
          </w:tcPr>
          <w:p w14:paraId="25CF2276" w14:textId="77777777" w:rsidR="006B1708" w:rsidRPr="00FC346C" w:rsidRDefault="006B1708" w:rsidP="004720FA">
            <w:pPr>
              <w:jc w:val="center"/>
              <w:rPr>
                <w:rFonts w:ascii="Times New Roman" w:hAnsi="Times New Roman" w:cs="Times New Roman"/>
              </w:rPr>
            </w:pPr>
            <w:r w:rsidRPr="00FC346C">
              <w:rPr>
                <w:rFonts w:ascii="Times New Roman" w:hAnsi="Times New Roman" w:cs="Times New Roman"/>
              </w:rPr>
              <w:t xml:space="preserve">Transmission System associated with </w:t>
            </w:r>
            <w:proofErr w:type="spellStart"/>
            <w:r w:rsidRPr="00FC346C">
              <w:rPr>
                <w:rFonts w:ascii="Times New Roman" w:hAnsi="Times New Roman" w:cs="Times New Roman"/>
              </w:rPr>
              <w:t>Gadarwara</w:t>
            </w:r>
            <w:proofErr w:type="spellEnd"/>
            <w:r w:rsidRPr="00FC346C">
              <w:rPr>
                <w:rFonts w:ascii="Times New Roman" w:hAnsi="Times New Roman" w:cs="Times New Roman"/>
              </w:rPr>
              <w:t xml:space="preserve"> STPS (2x800 MW) of NTPC (Part-A)</w:t>
            </w:r>
          </w:p>
        </w:tc>
        <w:tc>
          <w:tcPr>
            <w:tcW w:w="487" w:type="pct"/>
            <w:vAlign w:val="center"/>
          </w:tcPr>
          <w:p w14:paraId="1669DA8B"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PGCIL</w:t>
            </w:r>
          </w:p>
        </w:tc>
        <w:tc>
          <w:tcPr>
            <w:tcW w:w="626" w:type="pct"/>
            <w:vAlign w:val="center"/>
          </w:tcPr>
          <w:p w14:paraId="75F1B985"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2550.00</w:t>
            </w:r>
          </w:p>
        </w:tc>
        <w:tc>
          <w:tcPr>
            <w:tcW w:w="418" w:type="pct"/>
            <w:vAlign w:val="center"/>
          </w:tcPr>
          <w:p w14:paraId="556717E7"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290.10</w:t>
            </w:r>
          </w:p>
        </w:tc>
        <w:tc>
          <w:tcPr>
            <w:tcW w:w="487" w:type="pct"/>
            <w:vAlign w:val="center"/>
          </w:tcPr>
          <w:p w14:paraId="6F0CEB08"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593.50</w:t>
            </w:r>
          </w:p>
        </w:tc>
        <w:tc>
          <w:tcPr>
            <w:tcW w:w="558" w:type="pct"/>
            <w:vAlign w:val="center"/>
          </w:tcPr>
          <w:p w14:paraId="5DA1843F"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303.40</w:t>
            </w:r>
          </w:p>
        </w:tc>
        <w:tc>
          <w:tcPr>
            <w:tcW w:w="474" w:type="pct"/>
            <w:vAlign w:val="center"/>
          </w:tcPr>
          <w:p w14:paraId="185B45EC"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51.12%</w:t>
            </w:r>
          </w:p>
        </w:tc>
      </w:tr>
      <w:tr w:rsidR="006B1708" w:rsidRPr="00FC346C" w14:paraId="28E5D7B5" w14:textId="77777777" w:rsidTr="006B1708">
        <w:tc>
          <w:tcPr>
            <w:tcW w:w="272" w:type="pct"/>
            <w:vAlign w:val="center"/>
          </w:tcPr>
          <w:p w14:paraId="1BF5D46B" w14:textId="77777777" w:rsidR="006B1708" w:rsidRPr="00FC346C" w:rsidRDefault="006B1708" w:rsidP="004720FA">
            <w:pPr>
              <w:spacing w:line="360" w:lineRule="auto"/>
              <w:jc w:val="center"/>
              <w:rPr>
                <w:rFonts w:ascii="Times New Roman" w:hAnsi="Times New Roman" w:cs="Times New Roman"/>
              </w:rPr>
            </w:pPr>
            <w:r w:rsidRPr="00FC346C">
              <w:rPr>
                <w:rFonts w:ascii="Times New Roman" w:hAnsi="Times New Roman" w:cs="Times New Roman"/>
              </w:rPr>
              <w:t>4</w:t>
            </w:r>
          </w:p>
        </w:tc>
        <w:tc>
          <w:tcPr>
            <w:tcW w:w="771" w:type="pct"/>
            <w:vAlign w:val="center"/>
          </w:tcPr>
          <w:p w14:paraId="40E2D8B3" w14:textId="77777777" w:rsidR="006B1708" w:rsidRPr="00FC346C" w:rsidRDefault="006B1708" w:rsidP="004720FA">
            <w:pPr>
              <w:jc w:val="center"/>
              <w:rPr>
                <w:rFonts w:ascii="Times New Roman" w:hAnsi="Times New Roman" w:cs="Times New Roman"/>
                <w:color w:val="000000"/>
              </w:rPr>
            </w:pPr>
            <w:proofErr w:type="spellStart"/>
            <w:r w:rsidRPr="00FC346C">
              <w:rPr>
                <w:rFonts w:ascii="Times New Roman" w:hAnsi="Times New Roman" w:cs="Times New Roman"/>
                <w:color w:val="000000"/>
              </w:rPr>
              <w:t>Powergrid</w:t>
            </w:r>
            <w:proofErr w:type="spellEnd"/>
            <w:r w:rsidRPr="00FC346C">
              <w:rPr>
                <w:rFonts w:ascii="Times New Roman" w:hAnsi="Times New Roman" w:cs="Times New Roman"/>
                <w:color w:val="000000"/>
              </w:rPr>
              <w:t xml:space="preserve"> Parli Transmission Ltd.</w:t>
            </w:r>
          </w:p>
        </w:tc>
        <w:tc>
          <w:tcPr>
            <w:tcW w:w="907" w:type="pct"/>
            <w:vAlign w:val="center"/>
          </w:tcPr>
          <w:p w14:paraId="59A02979" w14:textId="77777777" w:rsidR="006B1708" w:rsidRPr="00FC346C" w:rsidRDefault="006B1708" w:rsidP="004720FA">
            <w:pPr>
              <w:jc w:val="center"/>
              <w:rPr>
                <w:rFonts w:ascii="Times New Roman" w:hAnsi="Times New Roman" w:cs="Times New Roman"/>
              </w:rPr>
            </w:pPr>
            <w:r w:rsidRPr="00FC346C">
              <w:rPr>
                <w:rFonts w:ascii="Times New Roman" w:hAnsi="Times New Roman" w:cs="Times New Roman"/>
              </w:rPr>
              <w:t xml:space="preserve">Transmission System associated with </w:t>
            </w:r>
            <w:proofErr w:type="spellStart"/>
            <w:r w:rsidRPr="00FC346C">
              <w:rPr>
                <w:rFonts w:ascii="Times New Roman" w:hAnsi="Times New Roman" w:cs="Times New Roman"/>
              </w:rPr>
              <w:t>Gadarwara</w:t>
            </w:r>
            <w:proofErr w:type="spellEnd"/>
            <w:r w:rsidRPr="00FC346C">
              <w:rPr>
                <w:rFonts w:ascii="Times New Roman" w:hAnsi="Times New Roman" w:cs="Times New Roman"/>
              </w:rPr>
              <w:t xml:space="preserve"> STPS (2x800 MW) of NTPC (Part-B)</w:t>
            </w:r>
          </w:p>
        </w:tc>
        <w:tc>
          <w:tcPr>
            <w:tcW w:w="487" w:type="pct"/>
            <w:vAlign w:val="center"/>
          </w:tcPr>
          <w:p w14:paraId="7063F267"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PGCIL</w:t>
            </w:r>
          </w:p>
        </w:tc>
        <w:tc>
          <w:tcPr>
            <w:tcW w:w="626" w:type="pct"/>
            <w:vAlign w:val="center"/>
          </w:tcPr>
          <w:p w14:paraId="45574564"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2400.00</w:t>
            </w:r>
          </w:p>
        </w:tc>
        <w:tc>
          <w:tcPr>
            <w:tcW w:w="418" w:type="pct"/>
            <w:vAlign w:val="center"/>
          </w:tcPr>
          <w:p w14:paraId="400DDD6D"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256.70</w:t>
            </w:r>
          </w:p>
        </w:tc>
        <w:tc>
          <w:tcPr>
            <w:tcW w:w="487" w:type="pct"/>
            <w:vAlign w:val="center"/>
          </w:tcPr>
          <w:p w14:paraId="6EF47F1A"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526.80</w:t>
            </w:r>
          </w:p>
        </w:tc>
        <w:tc>
          <w:tcPr>
            <w:tcW w:w="558" w:type="pct"/>
            <w:vAlign w:val="center"/>
          </w:tcPr>
          <w:p w14:paraId="34BD06DA"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270.10</w:t>
            </w:r>
          </w:p>
        </w:tc>
        <w:tc>
          <w:tcPr>
            <w:tcW w:w="474" w:type="pct"/>
            <w:vAlign w:val="center"/>
          </w:tcPr>
          <w:p w14:paraId="52BC9D28"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51.27%</w:t>
            </w:r>
          </w:p>
        </w:tc>
      </w:tr>
      <w:tr w:rsidR="006B1708" w:rsidRPr="00FC346C" w14:paraId="5702E561" w14:textId="77777777" w:rsidTr="006B1708">
        <w:tc>
          <w:tcPr>
            <w:tcW w:w="272" w:type="pct"/>
            <w:vAlign w:val="center"/>
          </w:tcPr>
          <w:p w14:paraId="1490FBDF" w14:textId="77777777" w:rsidR="006B1708" w:rsidRPr="00FC346C" w:rsidRDefault="006B1708" w:rsidP="004720FA">
            <w:pPr>
              <w:spacing w:line="360" w:lineRule="auto"/>
              <w:jc w:val="center"/>
              <w:rPr>
                <w:rFonts w:ascii="Times New Roman" w:hAnsi="Times New Roman" w:cs="Times New Roman"/>
              </w:rPr>
            </w:pPr>
            <w:r w:rsidRPr="00FC346C">
              <w:rPr>
                <w:rFonts w:ascii="Times New Roman" w:hAnsi="Times New Roman" w:cs="Times New Roman"/>
              </w:rPr>
              <w:t>5</w:t>
            </w:r>
          </w:p>
        </w:tc>
        <w:tc>
          <w:tcPr>
            <w:tcW w:w="771" w:type="pct"/>
            <w:vAlign w:val="center"/>
          </w:tcPr>
          <w:p w14:paraId="191B4792" w14:textId="77777777" w:rsidR="006B1708" w:rsidRPr="00FC346C" w:rsidRDefault="006B1708" w:rsidP="004720FA">
            <w:pPr>
              <w:jc w:val="center"/>
              <w:rPr>
                <w:rFonts w:ascii="Times New Roman" w:hAnsi="Times New Roman" w:cs="Times New Roman"/>
                <w:color w:val="000000"/>
              </w:rPr>
            </w:pPr>
            <w:proofErr w:type="spellStart"/>
            <w:r w:rsidRPr="00FC346C">
              <w:rPr>
                <w:rFonts w:ascii="Times New Roman" w:hAnsi="Times New Roman" w:cs="Times New Roman"/>
                <w:color w:val="000000"/>
              </w:rPr>
              <w:t>Lakadia</w:t>
            </w:r>
            <w:proofErr w:type="spellEnd"/>
            <w:r w:rsidRPr="00FC346C">
              <w:rPr>
                <w:rFonts w:ascii="Times New Roman" w:hAnsi="Times New Roman" w:cs="Times New Roman"/>
                <w:color w:val="000000"/>
              </w:rPr>
              <w:t xml:space="preserve"> – Vadodara Transmission Project Limited; Sterlite Grid 18 Limited</w:t>
            </w:r>
          </w:p>
        </w:tc>
        <w:tc>
          <w:tcPr>
            <w:tcW w:w="907" w:type="pct"/>
            <w:vAlign w:val="center"/>
          </w:tcPr>
          <w:p w14:paraId="4695704C" w14:textId="77777777" w:rsidR="006B1708" w:rsidRPr="00FC346C" w:rsidRDefault="006B1708" w:rsidP="004720FA">
            <w:pPr>
              <w:jc w:val="center"/>
              <w:rPr>
                <w:rFonts w:ascii="Times New Roman" w:hAnsi="Times New Roman" w:cs="Times New Roman"/>
              </w:rPr>
            </w:pPr>
            <w:r w:rsidRPr="00FC346C">
              <w:rPr>
                <w:rFonts w:ascii="Times New Roman" w:hAnsi="Times New Roman" w:cs="Times New Roman"/>
              </w:rPr>
              <w:t>WRSS – 21 Part – B – Transmission System Strengthening for Relieving Over Loadings Observed in Gujarat Intra-State System Due to Re-injections in Bhuj PS</w:t>
            </w:r>
          </w:p>
        </w:tc>
        <w:tc>
          <w:tcPr>
            <w:tcW w:w="487" w:type="pct"/>
            <w:vAlign w:val="center"/>
          </w:tcPr>
          <w:p w14:paraId="6E01FFA7"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Sterlite Power TL</w:t>
            </w:r>
          </w:p>
        </w:tc>
        <w:tc>
          <w:tcPr>
            <w:tcW w:w="626" w:type="pct"/>
            <w:vAlign w:val="center"/>
          </w:tcPr>
          <w:p w14:paraId="5DB9A706"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2314.00</w:t>
            </w:r>
          </w:p>
        </w:tc>
        <w:tc>
          <w:tcPr>
            <w:tcW w:w="418" w:type="pct"/>
            <w:vAlign w:val="center"/>
          </w:tcPr>
          <w:p w14:paraId="364966AC"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178.90</w:t>
            </w:r>
          </w:p>
        </w:tc>
        <w:tc>
          <w:tcPr>
            <w:tcW w:w="487" w:type="pct"/>
            <w:vAlign w:val="center"/>
          </w:tcPr>
          <w:p w14:paraId="38F4B7FD"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281.90</w:t>
            </w:r>
          </w:p>
        </w:tc>
        <w:tc>
          <w:tcPr>
            <w:tcW w:w="558" w:type="pct"/>
            <w:vAlign w:val="center"/>
          </w:tcPr>
          <w:p w14:paraId="1F434725"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103.00</w:t>
            </w:r>
          </w:p>
        </w:tc>
        <w:tc>
          <w:tcPr>
            <w:tcW w:w="474" w:type="pct"/>
            <w:vAlign w:val="center"/>
          </w:tcPr>
          <w:p w14:paraId="730D0EEF"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36.54%</w:t>
            </w:r>
          </w:p>
        </w:tc>
      </w:tr>
      <w:tr w:rsidR="006B1708" w:rsidRPr="00FC346C" w14:paraId="40B9D820" w14:textId="77777777" w:rsidTr="006B1708">
        <w:tc>
          <w:tcPr>
            <w:tcW w:w="272" w:type="pct"/>
            <w:vAlign w:val="center"/>
          </w:tcPr>
          <w:p w14:paraId="25268C23" w14:textId="77777777" w:rsidR="006B1708" w:rsidRPr="00FC346C" w:rsidRDefault="006B1708" w:rsidP="004720FA">
            <w:pPr>
              <w:spacing w:line="360" w:lineRule="auto"/>
              <w:jc w:val="center"/>
              <w:rPr>
                <w:rFonts w:ascii="Times New Roman" w:hAnsi="Times New Roman" w:cs="Times New Roman"/>
              </w:rPr>
            </w:pPr>
            <w:r w:rsidRPr="00FC346C">
              <w:rPr>
                <w:rFonts w:ascii="Times New Roman" w:hAnsi="Times New Roman" w:cs="Times New Roman"/>
              </w:rPr>
              <w:t>6</w:t>
            </w:r>
          </w:p>
        </w:tc>
        <w:tc>
          <w:tcPr>
            <w:tcW w:w="771" w:type="pct"/>
            <w:vAlign w:val="center"/>
          </w:tcPr>
          <w:p w14:paraId="52DAE2A5"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Khargone Transmission Limited</w:t>
            </w:r>
          </w:p>
        </w:tc>
        <w:tc>
          <w:tcPr>
            <w:tcW w:w="907" w:type="pct"/>
            <w:vAlign w:val="center"/>
          </w:tcPr>
          <w:p w14:paraId="3235BC2B" w14:textId="77777777" w:rsidR="006B1708" w:rsidRPr="00FC346C" w:rsidRDefault="006B1708" w:rsidP="004720FA">
            <w:pPr>
              <w:jc w:val="center"/>
              <w:rPr>
                <w:rFonts w:ascii="Times New Roman" w:hAnsi="Times New Roman" w:cs="Times New Roman"/>
              </w:rPr>
            </w:pPr>
            <w:r w:rsidRPr="00FC346C">
              <w:rPr>
                <w:rFonts w:ascii="Times New Roman" w:hAnsi="Times New Roman" w:cs="Times New Roman"/>
              </w:rPr>
              <w:t>Connectivity system for Khargone TPP (2x660 MW)</w:t>
            </w:r>
          </w:p>
        </w:tc>
        <w:tc>
          <w:tcPr>
            <w:tcW w:w="487" w:type="pct"/>
            <w:vAlign w:val="center"/>
          </w:tcPr>
          <w:p w14:paraId="52808A7F"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Sterlite Power TL</w:t>
            </w:r>
          </w:p>
        </w:tc>
        <w:tc>
          <w:tcPr>
            <w:tcW w:w="626" w:type="pct"/>
            <w:vAlign w:val="center"/>
          </w:tcPr>
          <w:p w14:paraId="284E11EA"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2136.00</w:t>
            </w:r>
          </w:p>
        </w:tc>
        <w:tc>
          <w:tcPr>
            <w:tcW w:w="418" w:type="pct"/>
            <w:vAlign w:val="center"/>
          </w:tcPr>
          <w:p w14:paraId="56120770"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159.10</w:t>
            </w:r>
          </w:p>
        </w:tc>
        <w:tc>
          <w:tcPr>
            <w:tcW w:w="487" w:type="pct"/>
            <w:vAlign w:val="center"/>
          </w:tcPr>
          <w:p w14:paraId="0CB42DD4"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310.32</w:t>
            </w:r>
          </w:p>
        </w:tc>
        <w:tc>
          <w:tcPr>
            <w:tcW w:w="558" w:type="pct"/>
            <w:vAlign w:val="center"/>
          </w:tcPr>
          <w:p w14:paraId="774EE532"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151.22</w:t>
            </w:r>
          </w:p>
        </w:tc>
        <w:tc>
          <w:tcPr>
            <w:tcW w:w="474" w:type="pct"/>
            <w:vAlign w:val="center"/>
          </w:tcPr>
          <w:p w14:paraId="28BB9E6F"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48.73%</w:t>
            </w:r>
          </w:p>
        </w:tc>
      </w:tr>
      <w:tr w:rsidR="006B1708" w:rsidRPr="00FC346C" w14:paraId="6D0A57F6" w14:textId="77777777" w:rsidTr="006B1708">
        <w:tc>
          <w:tcPr>
            <w:tcW w:w="272" w:type="pct"/>
            <w:vAlign w:val="center"/>
          </w:tcPr>
          <w:p w14:paraId="34A50843" w14:textId="77777777" w:rsidR="006B1708" w:rsidRPr="00FC346C" w:rsidRDefault="006B1708" w:rsidP="004720FA">
            <w:pPr>
              <w:spacing w:line="360" w:lineRule="auto"/>
              <w:jc w:val="center"/>
              <w:rPr>
                <w:rFonts w:ascii="Times New Roman" w:hAnsi="Times New Roman" w:cs="Times New Roman"/>
              </w:rPr>
            </w:pPr>
            <w:r w:rsidRPr="00FC346C">
              <w:rPr>
                <w:rFonts w:ascii="Times New Roman" w:hAnsi="Times New Roman" w:cs="Times New Roman"/>
              </w:rPr>
              <w:t>7</w:t>
            </w:r>
          </w:p>
        </w:tc>
        <w:tc>
          <w:tcPr>
            <w:tcW w:w="771" w:type="pct"/>
            <w:vAlign w:val="center"/>
          </w:tcPr>
          <w:p w14:paraId="3A3AB481" w14:textId="77777777" w:rsidR="006B1708" w:rsidRPr="00FC346C" w:rsidRDefault="006B1708" w:rsidP="004720FA">
            <w:pPr>
              <w:jc w:val="center"/>
              <w:rPr>
                <w:rFonts w:ascii="Times New Roman" w:hAnsi="Times New Roman" w:cs="Times New Roman"/>
                <w:color w:val="000000"/>
              </w:rPr>
            </w:pPr>
            <w:proofErr w:type="spellStart"/>
            <w:r w:rsidRPr="00FC346C">
              <w:rPr>
                <w:rFonts w:ascii="Times New Roman" w:hAnsi="Times New Roman" w:cs="Times New Roman"/>
                <w:color w:val="000000"/>
              </w:rPr>
              <w:t>Khetri</w:t>
            </w:r>
            <w:proofErr w:type="spellEnd"/>
            <w:r w:rsidRPr="00FC346C">
              <w:rPr>
                <w:rFonts w:ascii="Times New Roman" w:hAnsi="Times New Roman" w:cs="Times New Roman"/>
                <w:color w:val="000000"/>
              </w:rPr>
              <w:t xml:space="preserve"> Narela Transmission Limited</w:t>
            </w:r>
          </w:p>
        </w:tc>
        <w:tc>
          <w:tcPr>
            <w:tcW w:w="907" w:type="pct"/>
            <w:vAlign w:val="center"/>
          </w:tcPr>
          <w:p w14:paraId="792B7B3F" w14:textId="77777777" w:rsidR="006B1708" w:rsidRPr="00FC346C" w:rsidRDefault="006B1708" w:rsidP="004720FA">
            <w:pPr>
              <w:jc w:val="center"/>
              <w:rPr>
                <w:rFonts w:ascii="Times New Roman" w:hAnsi="Times New Roman" w:cs="Times New Roman"/>
              </w:rPr>
            </w:pPr>
            <w:r w:rsidRPr="00FC346C">
              <w:rPr>
                <w:rFonts w:ascii="Times New Roman" w:hAnsi="Times New Roman" w:cs="Times New Roman"/>
              </w:rPr>
              <w:t>Transmission system associated with LTA applications from Rajasthan SEZ Part-G, Phase-II</w:t>
            </w:r>
          </w:p>
        </w:tc>
        <w:tc>
          <w:tcPr>
            <w:tcW w:w="487" w:type="pct"/>
            <w:vAlign w:val="center"/>
          </w:tcPr>
          <w:p w14:paraId="14241D8B"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PGCIL</w:t>
            </w:r>
          </w:p>
        </w:tc>
        <w:tc>
          <w:tcPr>
            <w:tcW w:w="626" w:type="pct"/>
            <w:vAlign w:val="center"/>
          </w:tcPr>
          <w:p w14:paraId="488E2880"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1666.00</w:t>
            </w:r>
          </w:p>
        </w:tc>
        <w:tc>
          <w:tcPr>
            <w:tcW w:w="418" w:type="pct"/>
            <w:vAlign w:val="center"/>
          </w:tcPr>
          <w:p w14:paraId="10B48986"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148.40</w:t>
            </w:r>
          </w:p>
        </w:tc>
        <w:tc>
          <w:tcPr>
            <w:tcW w:w="487" w:type="pct"/>
            <w:vAlign w:val="center"/>
          </w:tcPr>
          <w:p w14:paraId="790C970B"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260.46</w:t>
            </w:r>
          </w:p>
        </w:tc>
        <w:tc>
          <w:tcPr>
            <w:tcW w:w="558" w:type="pct"/>
            <w:vAlign w:val="center"/>
          </w:tcPr>
          <w:p w14:paraId="730B7821"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112.06</w:t>
            </w:r>
          </w:p>
        </w:tc>
        <w:tc>
          <w:tcPr>
            <w:tcW w:w="474" w:type="pct"/>
            <w:vAlign w:val="center"/>
          </w:tcPr>
          <w:p w14:paraId="1A0C8300"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43.02%</w:t>
            </w:r>
          </w:p>
        </w:tc>
      </w:tr>
      <w:tr w:rsidR="006B1708" w:rsidRPr="00FC346C" w14:paraId="5238488F" w14:textId="77777777" w:rsidTr="006B1708">
        <w:tc>
          <w:tcPr>
            <w:tcW w:w="272" w:type="pct"/>
            <w:vAlign w:val="center"/>
          </w:tcPr>
          <w:p w14:paraId="40DD64B7" w14:textId="77777777" w:rsidR="006B1708" w:rsidRPr="00FC346C" w:rsidRDefault="006B1708" w:rsidP="004720FA">
            <w:pPr>
              <w:spacing w:line="360" w:lineRule="auto"/>
              <w:jc w:val="center"/>
              <w:rPr>
                <w:rFonts w:ascii="Times New Roman" w:hAnsi="Times New Roman" w:cs="Times New Roman"/>
              </w:rPr>
            </w:pPr>
            <w:r w:rsidRPr="00FC346C">
              <w:rPr>
                <w:rFonts w:ascii="Times New Roman" w:hAnsi="Times New Roman" w:cs="Times New Roman"/>
              </w:rPr>
              <w:t>8</w:t>
            </w:r>
          </w:p>
        </w:tc>
        <w:tc>
          <w:tcPr>
            <w:tcW w:w="771" w:type="pct"/>
            <w:vAlign w:val="center"/>
          </w:tcPr>
          <w:p w14:paraId="086D8D23"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Bikaner-</w:t>
            </w:r>
            <w:proofErr w:type="spellStart"/>
            <w:r w:rsidRPr="00FC346C">
              <w:rPr>
                <w:rFonts w:ascii="Times New Roman" w:hAnsi="Times New Roman" w:cs="Times New Roman"/>
                <w:color w:val="000000"/>
              </w:rPr>
              <w:t>Khetri</w:t>
            </w:r>
            <w:proofErr w:type="spellEnd"/>
            <w:r w:rsidRPr="00FC346C">
              <w:rPr>
                <w:rFonts w:ascii="Times New Roman" w:hAnsi="Times New Roman" w:cs="Times New Roman"/>
                <w:color w:val="000000"/>
              </w:rPr>
              <w:t xml:space="preserve"> Transmission Limited</w:t>
            </w:r>
          </w:p>
        </w:tc>
        <w:tc>
          <w:tcPr>
            <w:tcW w:w="907" w:type="pct"/>
            <w:vAlign w:val="center"/>
          </w:tcPr>
          <w:p w14:paraId="6DCC2438" w14:textId="77777777" w:rsidR="006B1708" w:rsidRPr="00FC346C" w:rsidRDefault="006B1708" w:rsidP="004720FA">
            <w:pPr>
              <w:jc w:val="center"/>
              <w:rPr>
                <w:rFonts w:ascii="Times New Roman" w:hAnsi="Times New Roman" w:cs="Times New Roman"/>
              </w:rPr>
            </w:pPr>
            <w:r w:rsidRPr="00FC346C">
              <w:rPr>
                <w:rFonts w:ascii="Times New Roman" w:hAnsi="Times New Roman" w:cs="Times New Roman"/>
              </w:rPr>
              <w:t>Transmission System Associated with LTA applications from</w:t>
            </w:r>
            <w:r w:rsidRPr="00FC346C">
              <w:rPr>
                <w:rFonts w:ascii="Times New Roman" w:hAnsi="Times New Roman" w:cs="Times New Roman"/>
              </w:rPr>
              <w:br/>
              <w:t>Rajasthan SEZ Part-D</w:t>
            </w:r>
          </w:p>
        </w:tc>
        <w:tc>
          <w:tcPr>
            <w:tcW w:w="487" w:type="pct"/>
            <w:vAlign w:val="center"/>
          </w:tcPr>
          <w:p w14:paraId="4B967480"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Adani TL</w:t>
            </w:r>
          </w:p>
        </w:tc>
        <w:tc>
          <w:tcPr>
            <w:tcW w:w="626" w:type="pct"/>
            <w:vAlign w:val="center"/>
          </w:tcPr>
          <w:p w14:paraId="66002B96"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1630.00</w:t>
            </w:r>
          </w:p>
        </w:tc>
        <w:tc>
          <w:tcPr>
            <w:tcW w:w="418" w:type="pct"/>
            <w:vAlign w:val="center"/>
          </w:tcPr>
          <w:p w14:paraId="2F951892"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100.10</w:t>
            </w:r>
          </w:p>
        </w:tc>
        <w:tc>
          <w:tcPr>
            <w:tcW w:w="487" w:type="pct"/>
            <w:vAlign w:val="center"/>
          </w:tcPr>
          <w:p w14:paraId="05DC7548"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229.50</w:t>
            </w:r>
          </w:p>
        </w:tc>
        <w:tc>
          <w:tcPr>
            <w:tcW w:w="558" w:type="pct"/>
            <w:vAlign w:val="center"/>
          </w:tcPr>
          <w:p w14:paraId="758BEF45"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129.40</w:t>
            </w:r>
          </w:p>
        </w:tc>
        <w:tc>
          <w:tcPr>
            <w:tcW w:w="474" w:type="pct"/>
            <w:vAlign w:val="center"/>
          </w:tcPr>
          <w:p w14:paraId="1467190A"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56.38%</w:t>
            </w:r>
          </w:p>
        </w:tc>
      </w:tr>
      <w:tr w:rsidR="006B1708" w:rsidRPr="00FC346C" w14:paraId="41FF885C" w14:textId="77777777" w:rsidTr="006B1708">
        <w:tc>
          <w:tcPr>
            <w:tcW w:w="272" w:type="pct"/>
            <w:vAlign w:val="center"/>
          </w:tcPr>
          <w:p w14:paraId="54446B11" w14:textId="77777777" w:rsidR="006B1708" w:rsidRPr="00FC346C" w:rsidRDefault="006B1708" w:rsidP="004720FA">
            <w:pPr>
              <w:spacing w:line="360" w:lineRule="auto"/>
              <w:jc w:val="center"/>
              <w:rPr>
                <w:rFonts w:ascii="Times New Roman" w:hAnsi="Times New Roman" w:cs="Times New Roman"/>
              </w:rPr>
            </w:pPr>
            <w:r w:rsidRPr="00FC346C">
              <w:rPr>
                <w:rFonts w:ascii="Times New Roman" w:hAnsi="Times New Roman" w:cs="Times New Roman"/>
              </w:rPr>
              <w:t>9</w:t>
            </w:r>
          </w:p>
        </w:tc>
        <w:tc>
          <w:tcPr>
            <w:tcW w:w="771" w:type="pct"/>
            <w:vAlign w:val="center"/>
          </w:tcPr>
          <w:p w14:paraId="5FCC5233" w14:textId="77777777" w:rsidR="006B1708" w:rsidRPr="00FC346C" w:rsidRDefault="006B1708" w:rsidP="004720FA">
            <w:pPr>
              <w:jc w:val="center"/>
              <w:rPr>
                <w:rFonts w:ascii="Times New Roman" w:hAnsi="Times New Roman" w:cs="Times New Roman"/>
                <w:color w:val="000000"/>
              </w:rPr>
            </w:pPr>
            <w:proofErr w:type="spellStart"/>
            <w:r w:rsidRPr="00FC346C">
              <w:rPr>
                <w:rFonts w:ascii="Times New Roman" w:hAnsi="Times New Roman" w:cs="Times New Roman"/>
                <w:color w:val="000000"/>
              </w:rPr>
              <w:t>Powergrid</w:t>
            </w:r>
            <w:proofErr w:type="spellEnd"/>
            <w:r w:rsidRPr="00FC346C">
              <w:rPr>
                <w:rFonts w:ascii="Times New Roman" w:hAnsi="Times New Roman" w:cs="Times New Roman"/>
                <w:color w:val="000000"/>
              </w:rPr>
              <w:t xml:space="preserve"> Sikar Transmission Limited</w:t>
            </w:r>
          </w:p>
        </w:tc>
        <w:tc>
          <w:tcPr>
            <w:tcW w:w="907" w:type="pct"/>
            <w:vAlign w:val="center"/>
          </w:tcPr>
          <w:p w14:paraId="3C7A655D" w14:textId="77777777" w:rsidR="006B1708" w:rsidRPr="00FC346C" w:rsidRDefault="006B1708" w:rsidP="004720FA">
            <w:pPr>
              <w:jc w:val="center"/>
              <w:rPr>
                <w:rFonts w:ascii="Times New Roman" w:hAnsi="Times New Roman" w:cs="Times New Roman"/>
              </w:rPr>
            </w:pPr>
            <w:r w:rsidRPr="00FC346C">
              <w:rPr>
                <w:rFonts w:ascii="Times New Roman" w:hAnsi="Times New Roman" w:cs="Times New Roman"/>
              </w:rPr>
              <w:t>Transmission system associated with LTA applications from Rajasthan SEZ Part-C, Phase-II</w:t>
            </w:r>
          </w:p>
        </w:tc>
        <w:tc>
          <w:tcPr>
            <w:tcW w:w="487" w:type="pct"/>
            <w:vAlign w:val="center"/>
          </w:tcPr>
          <w:p w14:paraId="3E8F7DC6"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PGCIL</w:t>
            </w:r>
          </w:p>
        </w:tc>
        <w:tc>
          <w:tcPr>
            <w:tcW w:w="626" w:type="pct"/>
            <w:vAlign w:val="center"/>
          </w:tcPr>
          <w:p w14:paraId="21D8D85E"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1562.00</w:t>
            </w:r>
          </w:p>
        </w:tc>
        <w:tc>
          <w:tcPr>
            <w:tcW w:w="418" w:type="pct"/>
            <w:vAlign w:val="center"/>
          </w:tcPr>
          <w:p w14:paraId="16F153E9"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163.70</w:t>
            </w:r>
          </w:p>
        </w:tc>
        <w:tc>
          <w:tcPr>
            <w:tcW w:w="487" w:type="pct"/>
            <w:vAlign w:val="center"/>
          </w:tcPr>
          <w:p w14:paraId="432CC93E"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310.10</w:t>
            </w:r>
          </w:p>
        </w:tc>
        <w:tc>
          <w:tcPr>
            <w:tcW w:w="558" w:type="pct"/>
            <w:vAlign w:val="center"/>
          </w:tcPr>
          <w:p w14:paraId="283120D3"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146.40</w:t>
            </w:r>
          </w:p>
        </w:tc>
        <w:tc>
          <w:tcPr>
            <w:tcW w:w="474" w:type="pct"/>
            <w:vAlign w:val="center"/>
          </w:tcPr>
          <w:p w14:paraId="7FC4F532"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47.21%</w:t>
            </w:r>
          </w:p>
        </w:tc>
      </w:tr>
      <w:tr w:rsidR="006B1708" w:rsidRPr="00FC346C" w14:paraId="19CBD686" w14:textId="77777777" w:rsidTr="006B1708">
        <w:tc>
          <w:tcPr>
            <w:tcW w:w="272" w:type="pct"/>
            <w:vAlign w:val="center"/>
          </w:tcPr>
          <w:p w14:paraId="031EFB61" w14:textId="77777777" w:rsidR="006B1708" w:rsidRPr="00FC346C" w:rsidRDefault="006B1708" w:rsidP="004720FA">
            <w:pPr>
              <w:spacing w:line="360" w:lineRule="auto"/>
              <w:jc w:val="center"/>
              <w:rPr>
                <w:rFonts w:ascii="Times New Roman" w:hAnsi="Times New Roman" w:cs="Times New Roman"/>
              </w:rPr>
            </w:pPr>
            <w:r w:rsidRPr="00FC346C">
              <w:rPr>
                <w:rFonts w:ascii="Times New Roman" w:hAnsi="Times New Roman" w:cs="Times New Roman"/>
              </w:rPr>
              <w:t>10</w:t>
            </w:r>
          </w:p>
        </w:tc>
        <w:tc>
          <w:tcPr>
            <w:tcW w:w="771" w:type="pct"/>
            <w:vAlign w:val="center"/>
          </w:tcPr>
          <w:p w14:paraId="569E766D"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Goa-</w:t>
            </w:r>
            <w:proofErr w:type="spellStart"/>
            <w:r w:rsidRPr="00FC346C">
              <w:rPr>
                <w:rFonts w:ascii="Times New Roman" w:hAnsi="Times New Roman" w:cs="Times New Roman"/>
                <w:color w:val="000000"/>
              </w:rPr>
              <w:t>Tamnar</w:t>
            </w:r>
            <w:proofErr w:type="spellEnd"/>
            <w:r w:rsidRPr="00FC346C">
              <w:rPr>
                <w:rFonts w:ascii="Times New Roman" w:hAnsi="Times New Roman" w:cs="Times New Roman"/>
                <w:color w:val="000000"/>
              </w:rPr>
              <w:t xml:space="preserve"> Transmission Project Limited</w:t>
            </w:r>
          </w:p>
        </w:tc>
        <w:tc>
          <w:tcPr>
            <w:tcW w:w="907" w:type="pct"/>
            <w:vAlign w:val="center"/>
          </w:tcPr>
          <w:p w14:paraId="18322AAA" w14:textId="77777777" w:rsidR="006B1708" w:rsidRPr="00FC346C" w:rsidRDefault="006B1708" w:rsidP="004720FA">
            <w:pPr>
              <w:jc w:val="center"/>
              <w:rPr>
                <w:rFonts w:ascii="Times New Roman" w:hAnsi="Times New Roman" w:cs="Times New Roman"/>
              </w:rPr>
            </w:pPr>
            <w:r w:rsidRPr="00FC346C">
              <w:rPr>
                <w:rFonts w:ascii="Times New Roman" w:hAnsi="Times New Roman" w:cs="Times New Roman"/>
              </w:rPr>
              <w:t>Additional 400kV Feed to Goa and Additional System for Power Evacuation from Generation Projects pooled at Raigarh (</w:t>
            </w:r>
            <w:proofErr w:type="spellStart"/>
            <w:r w:rsidRPr="00FC346C">
              <w:rPr>
                <w:rFonts w:ascii="Times New Roman" w:hAnsi="Times New Roman" w:cs="Times New Roman"/>
              </w:rPr>
              <w:t>Tamnar</w:t>
            </w:r>
            <w:proofErr w:type="spellEnd"/>
            <w:r w:rsidRPr="00FC346C">
              <w:rPr>
                <w:rFonts w:ascii="Times New Roman" w:hAnsi="Times New Roman" w:cs="Times New Roman"/>
              </w:rPr>
              <w:t>) Pool</w:t>
            </w:r>
          </w:p>
        </w:tc>
        <w:tc>
          <w:tcPr>
            <w:tcW w:w="487" w:type="pct"/>
            <w:vAlign w:val="center"/>
          </w:tcPr>
          <w:p w14:paraId="579B77ED"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Sterlite Power TL</w:t>
            </w:r>
          </w:p>
        </w:tc>
        <w:tc>
          <w:tcPr>
            <w:tcW w:w="626" w:type="pct"/>
            <w:vAlign w:val="center"/>
          </w:tcPr>
          <w:p w14:paraId="02549379"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1531.00</w:t>
            </w:r>
          </w:p>
        </w:tc>
        <w:tc>
          <w:tcPr>
            <w:tcW w:w="418" w:type="pct"/>
            <w:vAlign w:val="center"/>
          </w:tcPr>
          <w:p w14:paraId="01AA2A4E"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164.80</w:t>
            </w:r>
          </w:p>
        </w:tc>
        <w:tc>
          <w:tcPr>
            <w:tcW w:w="487" w:type="pct"/>
            <w:vAlign w:val="center"/>
          </w:tcPr>
          <w:p w14:paraId="78259F4B"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224.60</w:t>
            </w:r>
          </w:p>
        </w:tc>
        <w:tc>
          <w:tcPr>
            <w:tcW w:w="558" w:type="pct"/>
            <w:vAlign w:val="center"/>
          </w:tcPr>
          <w:p w14:paraId="565CF07B"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59.80</w:t>
            </w:r>
          </w:p>
        </w:tc>
        <w:tc>
          <w:tcPr>
            <w:tcW w:w="474" w:type="pct"/>
            <w:vAlign w:val="center"/>
          </w:tcPr>
          <w:p w14:paraId="46828F9A"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26.63%</w:t>
            </w:r>
          </w:p>
        </w:tc>
      </w:tr>
      <w:tr w:rsidR="006B1708" w:rsidRPr="00FC346C" w14:paraId="032A5C67" w14:textId="77777777" w:rsidTr="006B1708">
        <w:tc>
          <w:tcPr>
            <w:tcW w:w="272" w:type="pct"/>
            <w:vAlign w:val="center"/>
          </w:tcPr>
          <w:p w14:paraId="3BF18269" w14:textId="77777777" w:rsidR="006B1708" w:rsidRPr="00FC346C" w:rsidRDefault="006B1708" w:rsidP="004720FA">
            <w:pPr>
              <w:spacing w:line="360" w:lineRule="auto"/>
              <w:jc w:val="center"/>
              <w:rPr>
                <w:rFonts w:ascii="Times New Roman" w:hAnsi="Times New Roman" w:cs="Times New Roman"/>
              </w:rPr>
            </w:pPr>
            <w:r w:rsidRPr="00FC346C">
              <w:rPr>
                <w:rFonts w:ascii="Times New Roman" w:hAnsi="Times New Roman" w:cs="Times New Roman"/>
              </w:rPr>
              <w:t>11</w:t>
            </w:r>
          </w:p>
        </w:tc>
        <w:tc>
          <w:tcPr>
            <w:tcW w:w="771" w:type="pct"/>
            <w:vAlign w:val="center"/>
          </w:tcPr>
          <w:p w14:paraId="3B24C4AC" w14:textId="77777777" w:rsidR="006B1708" w:rsidRPr="00FC346C" w:rsidRDefault="006B1708" w:rsidP="004720FA">
            <w:pPr>
              <w:jc w:val="center"/>
              <w:rPr>
                <w:rFonts w:ascii="Times New Roman" w:hAnsi="Times New Roman" w:cs="Times New Roman"/>
              </w:rPr>
            </w:pPr>
            <w:proofErr w:type="spellStart"/>
            <w:r w:rsidRPr="00FC346C">
              <w:rPr>
                <w:rFonts w:ascii="Times New Roman" w:hAnsi="Times New Roman" w:cs="Times New Roman"/>
              </w:rPr>
              <w:t>Alipurduar</w:t>
            </w:r>
            <w:proofErr w:type="spellEnd"/>
            <w:r w:rsidRPr="00FC346C">
              <w:rPr>
                <w:rFonts w:ascii="Times New Roman" w:hAnsi="Times New Roman" w:cs="Times New Roman"/>
              </w:rPr>
              <w:t xml:space="preserve"> Transmission Ltd.</w:t>
            </w:r>
          </w:p>
        </w:tc>
        <w:tc>
          <w:tcPr>
            <w:tcW w:w="907" w:type="pct"/>
            <w:vAlign w:val="center"/>
          </w:tcPr>
          <w:p w14:paraId="0C99BBC0" w14:textId="77777777" w:rsidR="006B1708" w:rsidRPr="00FC346C" w:rsidRDefault="006B1708" w:rsidP="004720FA">
            <w:pPr>
              <w:jc w:val="center"/>
              <w:rPr>
                <w:rFonts w:ascii="Times New Roman" w:hAnsi="Times New Roman" w:cs="Times New Roman"/>
              </w:rPr>
            </w:pPr>
            <w:r w:rsidRPr="00FC346C">
              <w:rPr>
                <w:rFonts w:ascii="Times New Roman" w:hAnsi="Times New Roman" w:cs="Times New Roman"/>
              </w:rPr>
              <w:t>Transmission system strengthening in Indian system for transfer of power from new HEP's in BHUTAN</w:t>
            </w:r>
          </w:p>
        </w:tc>
        <w:tc>
          <w:tcPr>
            <w:tcW w:w="487" w:type="pct"/>
            <w:vAlign w:val="center"/>
          </w:tcPr>
          <w:p w14:paraId="00C4703F" w14:textId="77777777" w:rsidR="006B1708" w:rsidRPr="00FC346C" w:rsidRDefault="006B1708" w:rsidP="004720FA">
            <w:pPr>
              <w:jc w:val="center"/>
              <w:rPr>
                <w:rFonts w:ascii="Times New Roman" w:hAnsi="Times New Roman" w:cs="Times New Roman"/>
                <w:color w:val="000000"/>
              </w:rPr>
            </w:pPr>
            <w:proofErr w:type="spellStart"/>
            <w:r w:rsidRPr="00FC346C">
              <w:rPr>
                <w:rFonts w:ascii="Times New Roman" w:hAnsi="Times New Roman" w:cs="Times New Roman"/>
                <w:color w:val="000000"/>
              </w:rPr>
              <w:t>Kalpaturu</w:t>
            </w:r>
            <w:proofErr w:type="spellEnd"/>
          </w:p>
        </w:tc>
        <w:tc>
          <w:tcPr>
            <w:tcW w:w="626" w:type="pct"/>
            <w:vAlign w:val="center"/>
          </w:tcPr>
          <w:p w14:paraId="0B12DCE8"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1400.00</w:t>
            </w:r>
          </w:p>
        </w:tc>
        <w:tc>
          <w:tcPr>
            <w:tcW w:w="418" w:type="pct"/>
            <w:vAlign w:val="center"/>
          </w:tcPr>
          <w:p w14:paraId="6DB176B6"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129.40</w:t>
            </w:r>
          </w:p>
        </w:tc>
        <w:tc>
          <w:tcPr>
            <w:tcW w:w="487" w:type="pct"/>
            <w:vAlign w:val="center"/>
          </w:tcPr>
          <w:p w14:paraId="4C2425EE"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184.91</w:t>
            </w:r>
          </w:p>
        </w:tc>
        <w:tc>
          <w:tcPr>
            <w:tcW w:w="558" w:type="pct"/>
            <w:vAlign w:val="center"/>
          </w:tcPr>
          <w:p w14:paraId="21CFFCCC"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55.51</w:t>
            </w:r>
          </w:p>
        </w:tc>
        <w:tc>
          <w:tcPr>
            <w:tcW w:w="474" w:type="pct"/>
            <w:vAlign w:val="center"/>
          </w:tcPr>
          <w:p w14:paraId="4321CFB6"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30.02%</w:t>
            </w:r>
          </w:p>
        </w:tc>
      </w:tr>
      <w:tr w:rsidR="006B1708" w:rsidRPr="00FC346C" w14:paraId="6F9F8E09" w14:textId="77777777" w:rsidTr="006B1708">
        <w:tc>
          <w:tcPr>
            <w:tcW w:w="272" w:type="pct"/>
            <w:vAlign w:val="center"/>
          </w:tcPr>
          <w:p w14:paraId="0B278262" w14:textId="77777777" w:rsidR="006B1708" w:rsidRPr="00FC346C" w:rsidRDefault="006B1708" w:rsidP="004720FA">
            <w:pPr>
              <w:spacing w:line="360" w:lineRule="auto"/>
              <w:jc w:val="center"/>
              <w:rPr>
                <w:rFonts w:ascii="Times New Roman" w:hAnsi="Times New Roman" w:cs="Times New Roman"/>
              </w:rPr>
            </w:pPr>
            <w:r w:rsidRPr="00FC346C">
              <w:rPr>
                <w:rFonts w:ascii="Times New Roman" w:hAnsi="Times New Roman" w:cs="Times New Roman"/>
              </w:rPr>
              <w:t>12</w:t>
            </w:r>
          </w:p>
        </w:tc>
        <w:tc>
          <w:tcPr>
            <w:tcW w:w="771" w:type="pct"/>
            <w:vAlign w:val="center"/>
          </w:tcPr>
          <w:p w14:paraId="05C1AE78" w14:textId="77777777" w:rsidR="006B1708" w:rsidRPr="00FC346C" w:rsidRDefault="006B1708" w:rsidP="004720FA">
            <w:pPr>
              <w:jc w:val="center"/>
              <w:rPr>
                <w:rFonts w:ascii="Times New Roman" w:hAnsi="Times New Roman" w:cs="Times New Roman"/>
                <w:color w:val="000000"/>
              </w:rPr>
            </w:pPr>
            <w:proofErr w:type="spellStart"/>
            <w:r w:rsidRPr="00FC346C">
              <w:rPr>
                <w:rFonts w:ascii="Times New Roman" w:hAnsi="Times New Roman" w:cs="Times New Roman"/>
                <w:color w:val="000000"/>
              </w:rPr>
              <w:t>Powergrid</w:t>
            </w:r>
            <w:proofErr w:type="spellEnd"/>
            <w:r w:rsidRPr="00FC346C">
              <w:rPr>
                <w:rFonts w:ascii="Times New Roman" w:hAnsi="Times New Roman" w:cs="Times New Roman"/>
                <w:color w:val="000000"/>
              </w:rPr>
              <w:t xml:space="preserve"> Bikaner Transmission Ltd.</w:t>
            </w:r>
          </w:p>
        </w:tc>
        <w:tc>
          <w:tcPr>
            <w:tcW w:w="907" w:type="pct"/>
            <w:vAlign w:val="center"/>
          </w:tcPr>
          <w:p w14:paraId="724ED2ED" w14:textId="77777777" w:rsidR="006B1708" w:rsidRPr="00FC346C" w:rsidRDefault="006B1708" w:rsidP="004720FA">
            <w:pPr>
              <w:jc w:val="center"/>
              <w:rPr>
                <w:rFonts w:ascii="Times New Roman" w:hAnsi="Times New Roman" w:cs="Times New Roman"/>
              </w:rPr>
            </w:pPr>
            <w:r w:rsidRPr="00FC346C">
              <w:rPr>
                <w:rFonts w:ascii="Times New Roman" w:hAnsi="Times New Roman" w:cs="Times New Roman"/>
              </w:rPr>
              <w:t>Transmission system associated with LTA applications from Rajasthan SEZ Part-F, Phase-II</w:t>
            </w:r>
          </w:p>
        </w:tc>
        <w:tc>
          <w:tcPr>
            <w:tcW w:w="487" w:type="pct"/>
            <w:vAlign w:val="center"/>
          </w:tcPr>
          <w:p w14:paraId="54FEB886"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PGCIL</w:t>
            </w:r>
          </w:p>
        </w:tc>
        <w:tc>
          <w:tcPr>
            <w:tcW w:w="626" w:type="pct"/>
            <w:vAlign w:val="center"/>
          </w:tcPr>
          <w:p w14:paraId="4AF9CB50"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1340.81</w:t>
            </w:r>
          </w:p>
        </w:tc>
        <w:tc>
          <w:tcPr>
            <w:tcW w:w="418" w:type="pct"/>
            <w:vAlign w:val="center"/>
          </w:tcPr>
          <w:p w14:paraId="6BF9A5B6"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140.50</w:t>
            </w:r>
          </w:p>
        </w:tc>
        <w:tc>
          <w:tcPr>
            <w:tcW w:w="487" w:type="pct"/>
            <w:vAlign w:val="center"/>
          </w:tcPr>
          <w:p w14:paraId="6357154D"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203.20</w:t>
            </w:r>
          </w:p>
        </w:tc>
        <w:tc>
          <w:tcPr>
            <w:tcW w:w="558" w:type="pct"/>
            <w:vAlign w:val="center"/>
          </w:tcPr>
          <w:p w14:paraId="1ED91141"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62.70</w:t>
            </w:r>
          </w:p>
        </w:tc>
        <w:tc>
          <w:tcPr>
            <w:tcW w:w="474" w:type="pct"/>
            <w:vAlign w:val="center"/>
          </w:tcPr>
          <w:p w14:paraId="08779BC5"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30.86%</w:t>
            </w:r>
          </w:p>
        </w:tc>
      </w:tr>
      <w:tr w:rsidR="006B1708" w:rsidRPr="00FC346C" w14:paraId="2E5FCBC8" w14:textId="77777777" w:rsidTr="006B1708">
        <w:tc>
          <w:tcPr>
            <w:tcW w:w="272" w:type="pct"/>
            <w:vAlign w:val="center"/>
          </w:tcPr>
          <w:p w14:paraId="5718D552" w14:textId="77777777" w:rsidR="006B1708" w:rsidRPr="00FC346C" w:rsidRDefault="006B1708" w:rsidP="004720FA">
            <w:pPr>
              <w:spacing w:line="360" w:lineRule="auto"/>
              <w:jc w:val="center"/>
              <w:rPr>
                <w:rFonts w:ascii="Times New Roman" w:hAnsi="Times New Roman" w:cs="Times New Roman"/>
              </w:rPr>
            </w:pPr>
            <w:r w:rsidRPr="00FC346C">
              <w:rPr>
                <w:rFonts w:ascii="Times New Roman" w:hAnsi="Times New Roman" w:cs="Times New Roman"/>
              </w:rPr>
              <w:t>13</w:t>
            </w:r>
          </w:p>
        </w:tc>
        <w:tc>
          <w:tcPr>
            <w:tcW w:w="771" w:type="pct"/>
            <w:vAlign w:val="center"/>
          </w:tcPr>
          <w:p w14:paraId="6EBC93E9"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ERSS XXI Transmission Limited</w:t>
            </w:r>
          </w:p>
        </w:tc>
        <w:tc>
          <w:tcPr>
            <w:tcW w:w="907" w:type="pct"/>
            <w:vAlign w:val="center"/>
          </w:tcPr>
          <w:p w14:paraId="53834BC7" w14:textId="77777777" w:rsidR="006B1708" w:rsidRPr="00FC346C" w:rsidRDefault="006B1708" w:rsidP="004720FA">
            <w:pPr>
              <w:jc w:val="center"/>
              <w:rPr>
                <w:rFonts w:ascii="Times New Roman" w:hAnsi="Times New Roman" w:cs="Times New Roman"/>
              </w:rPr>
            </w:pPr>
            <w:r w:rsidRPr="00FC346C">
              <w:rPr>
                <w:rFonts w:ascii="Times New Roman" w:hAnsi="Times New Roman" w:cs="Times New Roman"/>
              </w:rPr>
              <w:t>Eastern Region Strengthening Scheme-XXI</w:t>
            </w:r>
          </w:p>
        </w:tc>
        <w:tc>
          <w:tcPr>
            <w:tcW w:w="487" w:type="pct"/>
            <w:vAlign w:val="center"/>
          </w:tcPr>
          <w:p w14:paraId="6EFEEE20"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PGCIL</w:t>
            </w:r>
          </w:p>
        </w:tc>
        <w:tc>
          <w:tcPr>
            <w:tcW w:w="626" w:type="pct"/>
            <w:vAlign w:val="center"/>
          </w:tcPr>
          <w:p w14:paraId="450243DA"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1321.00</w:t>
            </w:r>
          </w:p>
        </w:tc>
        <w:tc>
          <w:tcPr>
            <w:tcW w:w="418" w:type="pct"/>
            <w:vAlign w:val="center"/>
          </w:tcPr>
          <w:p w14:paraId="02F1D059"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138.60</w:t>
            </w:r>
          </w:p>
        </w:tc>
        <w:tc>
          <w:tcPr>
            <w:tcW w:w="487" w:type="pct"/>
            <w:vAlign w:val="center"/>
          </w:tcPr>
          <w:p w14:paraId="11D2AB1F"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252.00</w:t>
            </w:r>
          </w:p>
        </w:tc>
        <w:tc>
          <w:tcPr>
            <w:tcW w:w="558" w:type="pct"/>
            <w:vAlign w:val="center"/>
          </w:tcPr>
          <w:p w14:paraId="59FB6DFF"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113.40</w:t>
            </w:r>
          </w:p>
        </w:tc>
        <w:tc>
          <w:tcPr>
            <w:tcW w:w="474" w:type="pct"/>
            <w:vAlign w:val="center"/>
          </w:tcPr>
          <w:p w14:paraId="1DB7C726"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45.00%</w:t>
            </w:r>
          </w:p>
        </w:tc>
      </w:tr>
      <w:tr w:rsidR="006B1708" w:rsidRPr="00FC346C" w14:paraId="0B99495E" w14:textId="77777777" w:rsidTr="006B1708">
        <w:tc>
          <w:tcPr>
            <w:tcW w:w="272" w:type="pct"/>
            <w:vAlign w:val="center"/>
          </w:tcPr>
          <w:p w14:paraId="2C197C5E" w14:textId="77777777" w:rsidR="006B1708" w:rsidRPr="00FC346C" w:rsidRDefault="006B1708" w:rsidP="004720FA">
            <w:pPr>
              <w:spacing w:line="360" w:lineRule="auto"/>
              <w:jc w:val="center"/>
              <w:rPr>
                <w:rFonts w:ascii="Times New Roman" w:hAnsi="Times New Roman" w:cs="Times New Roman"/>
              </w:rPr>
            </w:pPr>
            <w:r w:rsidRPr="00FC346C">
              <w:rPr>
                <w:rFonts w:ascii="Times New Roman" w:hAnsi="Times New Roman" w:cs="Times New Roman"/>
              </w:rPr>
              <w:t>14</w:t>
            </w:r>
          </w:p>
        </w:tc>
        <w:tc>
          <w:tcPr>
            <w:tcW w:w="771" w:type="pct"/>
            <w:vAlign w:val="center"/>
          </w:tcPr>
          <w:p w14:paraId="68C4EB47" w14:textId="77777777" w:rsidR="006B1708" w:rsidRPr="00FC346C" w:rsidRDefault="006B1708" w:rsidP="004720FA">
            <w:pPr>
              <w:jc w:val="center"/>
              <w:rPr>
                <w:rFonts w:ascii="Times New Roman" w:hAnsi="Times New Roman" w:cs="Times New Roman"/>
              </w:rPr>
            </w:pPr>
            <w:proofErr w:type="spellStart"/>
            <w:r w:rsidRPr="00FC346C">
              <w:rPr>
                <w:rFonts w:ascii="Times New Roman" w:hAnsi="Times New Roman" w:cs="Times New Roman"/>
              </w:rPr>
              <w:t>Kudgi</w:t>
            </w:r>
            <w:proofErr w:type="spellEnd"/>
            <w:r w:rsidRPr="00FC346C">
              <w:rPr>
                <w:rFonts w:ascii="Times New Roman" w:hAnsi="Times New Roman" w:cs="Times New Roman"/>
              </w:rPr>
              <w:t xml:space="preserve"> Transmission Company Ltd.</w:t>
            </w:r>
          </w:p>
        </w:tc>
        <w:tc>
          <w:tcPr>
            <w:tcW w:w="907" w:type="pct"/>
            <w:vAlign w:val="center"/>
          </w:tcPr>
          <w:p w14:paraId="6582E76B" w14:textId="77777777" w:rsidR="006B1708" w:rsidRPr="00FC346C" w:rsidRDefault="006B1708" w:rsidP="004720FA">
            <w:pPr>
              <w:jc w:val="center"/>
              <w:rPr>
                <w:rFonts w:ascii="Times New Roman" w:hAnsi="Times New Roman" w:cs="Times New Roman"/>
              </w:rPr>
            </w:pPr>
            <w:r w:rsidRPr="00FC346C">
              <w:rPr>
                <w:rFonts w:ascii="Times New Roman" w:hAnsi="Times New Roman" w:cs="Times New Roman"/>
              </w:rPr>
              <w:t xml:space="preserve">Transmission system required for evacuation of power from </w:t>
            </w:r>
            <w:proofErr w:type="spellStart"/>
            <w:r w:rsidRPr="00FC346C">
              <w:rPr>
                <w:rFonts w:ascii="Times New Roman" w:hAnsi="Times New Roman" w:cs="Times New Roman"/>
              </w:rPr>
              <w:t>Kudgi</w:t>
            </w:r>
            <w:proofErr w:type="spellEnd"/>
            <w:r w:rsidRPr="00FC346C">
              <w:rPr>
                <w:rFonts w:ascii="Times New Roman" w:hAnsi="Times New Roman" w:cs="Times New Roman"/>
              </w:rPr>
              <w:t xml:space="preserve"> TPS (3X800 MW in Phase I) of NTPC Ltd.</w:t>
            </w:r>
          </w:p>
        </w:tc>
        <w:tc>
          <w:tcPr>
            <w:tcW w:w="487" w:type="pct"/>
            <w:vAlign w:val="center"/>
          </w:tcPr>
          <w:p w14:paraId="69F4F1E6"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L&amp;T</w:t>
            </w:r>
          </w:p>
        </w:tc>
        <w:tc>
          <w:tcPr>
            <w:tcW w:w="626" w:type="pct"/>
            <w:vAlign w:val="center"/>
          </w:tcPr>
          <w:p w14:paraId="74F0F252"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1240.00</w:t>
            </w:r>
          </w:p>
        </w:tc>
        <w:tc>
          <w:tcPr>
            <w:tcW w:w="418" w:type="pct"/>
            <w:vAlign w:val="center"/>
          </w:tcPr>
          <w:p w14:paraId="5A8D37F6"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179.60</w:t>
            </w:r>
          </w:p>
        </w:tc>
        <w:tc>
          <w:tcPr>
            <w:tcW w:w="487" w:type="pct"/>
            <w:vAlign w:val="center"/>
          </w:tcPr>
          <w:p w14:paraId="76A8C217"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232.74</w:t>
            </w:r>
          </w:p>
        </w:tc>
        <w:tc>
          <w:tcPr>
            <w:tcW w:w="558" w:type="pct"/>
            <w:vAlign w:val="center"/>
          </w:tcPr>
          <w:p w14:paraId="432AD182"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53.14</w:t>
            </w:r>
          </w:p>
        </w:tc>
        <w:tc>
          <w:tcPr>
            <w:tcW w:w="474" w:type="pct"/>
            <w:vAlign w:val="center"/>
          </w:tcPr>
          <w:p w14:paraId="5CB44A75"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22.83%</w:t>
            </w:r>
          </w:p>
        </w:tc>
      </w:tr>
      <w:tr w:rsidR="006B1708" w:rsidRPr="00FC346C" w14:paraId="5FB114B6" w14:textId="77777777" w:rsidTr="006B1708">
        <w:tc>
          <w:tcPr>
            <w:tcW w:w="272" w:type="pct"/>
            <w:vAlign w:val="center"/>
          </w:tcPr>
          <w:p w14:paraId="12A04CFB" w14:textId="77777777" w:rsidR="006B1708" w:rsidRPr="00FC346C" w:rsidRDefault="006B1708" w:rsidP="004720FA">
            <w:pPr>
              <w:spacing w:line="360" w:lineRule="auto"/>
              <w:jc w:val="center"/>
              <w:rPr>
                <w:rFonts w:ascii="Times New Roman" w:hAnsi="Times New Roman" w:cs="Times New Roman"/>
              </w:rPr>
            </w:pPr>
            <w:r w:rsidRPr="00FC346C">
              <w:rPr>
                <w:rFonts w:ascii="Times New Roman" w:hAnsi="Times New Roman" w:cs="Times New Roman"/>
              </w:rPr>
              <w:t>15</w:t>
            </w:r>
          </w:p>
        </w:tc>
        <w:tc>
          <w:tcPr>
            <w:tcW w:w="771" w:type="pct"/>
            <w:vAlign w:val="center"/>
          </w:tcPr>
          <w:p w14:paraId="2AB5E4A5" w14:textId="77777777" w:rsidR="006B1708" w:rsidRPr="00FC346C" w:rsidRDefault="006B1708" w:rsidP="004720FA">
            <w:pPr>
              <w:jc w:val="center"/>
              <w:rPr>
                <w:rFonts w:ascii="Times New Roman" w:hAnsi="Times New Roman" w:cs="Times New Roman"/>
                <w:color w:val="000000"/>
              </w:rPr>
            </w:pPr>
            <w:proofErr w:type="spellStart"/>
            <w:r w:rsidRPr="00FC346C">
              <w:rPr>
                <w:rFonts w:ascii="Times New Roman" w:hAnsi="Times New Roman" w:cs="Times New Roman"/>
                <w:color w:val="000000"/>
              </w:rPr>
              <w:t>Powergrid</w:t>
            </w:r>
            <w:proofErr w:type="spellEnd"/>
            <w:r w:rsidRPr="00FC346C">
              <w:rPr>
                <w:rFonts w:ascii="Times New Roman" w:hAnsi="Times New Roman" w:cs="Times New Roman"/>
                <w:color w:val="000000"/>
              </w:rPr>
              <w:t xml:space="preserve"> Vizag Transmission Limited</w:t>
            </w:r>
          </w:p>
        </w:tc>
        <w:tc>
          <w:tcPr>
            <w:tcW w:w="907" w:type="pct"/>
            <w:vAlign w:val="center"/>
          </w:tcPr>
          <w:p w14:paraId="1F114EE8" w14:textId="77777777" w:rsidR="006B1708" w:rsidRPr="00FC346C" w:rsidRDefault="006B1708" w:rsidP="004720FA">
            <w:pPr>
              <w:jc w:val="center"/>
              <w:rPr>
                <w:rFonts w:ascii="Times New Roman" w:hAnsi="Times New Roman" w:cs="Times New Roman"/>
              </w:rPr>
            </w:pPr>
            <w:r w:rsidRPr="00FC346C">
              <w:rPr>
                <w:rFonts w:ascii="Times New Roman" w:hAnsi="Times New Roman" w:cs="Times New Roman"/>
              </w:rPr>
              <w:t>Transmission system for strengthening in Southern region for import of Power from ER</w:t>
            </w:r>
          </w:p>
        </w:tc>
        <w:tc>
          <w:tcPr>
            <w:tcW w:w="487" w:type="pct"/>
            <w:vAlign w:val="center"/>
          </w:tcPr>
          <w:p w14:paraId="760CE043"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PGCIL</w:t>
            </w:r>
          </w:p>
        </w:tc>
        <w:tc>
          <w:tcPr>
            <w:tcW w:w="626" w:type="pct"/>
            <w:vAlign w:val="center"/>
          </w:tcPr>
          <w:p w14:paraId="67045D34"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1180.00</w:t>
            </w:r>
          </w:p>
        </w:tc>
        <w:tc>
          <w:tcPr>
            <w:tcW w:w="418" w:type="pct"/>
            <w:vAlign w:val="center"/>
          </w:tcPr>
          <w:p w14:paraId="2D787F44"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231.10</w:t>
            </w:r>
          </w:p>
        </w:tc>
        <w:tc>
          <w:tcPr>
            <w:tcW w:w="487" w:type="pct"/>
            <w:vAlign w:val="center"/>
          </w:tcPr>
          <w:p w14:paraId="02B71259"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237.00</w:t>
            </w:r>
          </w:p>
        </w:tc>
        <w:tc>
          <w:tcPr>
            <w:tcW w:w="558" w:type="pct"/>
            <w:vAlign w:val="center"/>
          </w:tcPr>
          <w:p w14:paraId="44478E1D"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5.90</w:t>
            </w:r>
          </w:p>
        </w:tc>
        <w:tc>
          <w:tcPr>
            <w:tcW w:w="474" w:type="pct"/>
            <w:vAlign w:val="center"/>
          </w:tcPr>
          <w:p w14:paraId="0823C7B5"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2.49%</w:t>
            </w:r>
          </w:p>
        </w:tc>
      </w:tr>
      <w:tr w:rsidR="006B1708" w:rsidRPr="00FC346C" w14:paraId="69898A41" w14:textId="77777777" w:rsidTr="006B1708">
        <w:tc>
          <w:tcPr>
            <w:tcW w:w="272" w:type="pct"/>
            <w:vAlign w:val="center"/>
          </w:tcPr>
          <w:p w14:paraId="27747F88" w14:textId="77777777" w:rsidR="006B1708" w:rsidRPr="00FC346C" w:rsidRDefault="006B1708" w:rsidP="004720FA">
            <w:pPr>
              <w:spacing w:line="360" w:lineRule="auto"/>
              <w:jc w:val="center"/>
              <w:rPr>
                <w:rFonts w:ascii="Times New Roman" w:hAnsi="Times New Roman" w:cs="Times New Roman"/>
              </w:rPr>
            </w:pPr>
            <w:r w:rsidRPr="00FC346C">
              <w:rPr>
                <w:rFonts w:ascii="Times New Roman" w:hAnsi="Times New Roman" w:cs="Times New Roman"/>
              </w:rPr>
              <w:t>16</w:t>
            </w:r>
          </w:p>
        </w:tc>
        <w:tc>
          <w:tcPr>
            <w:tcW w:w="771" w:type="pct"/>
            <w:vAlign w:val="center"/>
          </w:tcPr>
          <w:p w14:paraId="3B4D5016" w14:textId="77777777" w:rsidR="006B1708" w:rsidRPr="00FC346C" w:rsidRDefault="006B1708" w:rsidP="004720FA">
            <w:pPr>
              <w:jc w:val="center"/>
              <w:rPr>
                <w:rFonts w:ascii="Times New Roman" w:hAnsi="Times New Roman" w:cs="Times New Roman"/>
                <w:color w:val="000000"/>
              </w:rPr>
            </w:pPr>
            <w:proofErr w:type="spellStart"/>
            <w:r w:rsidRPr="00FC346C">
              <w:rPr>
                <w:rFonts w:ascii="Times New Roman" w:hAnsi="Times New Roman" w:cs="Times New Roman"/>
                <w:color w:val="000000"/>
              </w:rPr>
              <w:t>Khavda</w:t>
            </w:r>
            <w:proofErr w:type="spellEnd"/>
            <w:r w:rsidRPr="00FC346C">
              <w:rPr>
                <w:rFonts w:ascii="Times New Roman" w:hAnsi="Times New Roman" w:cs="Times New Roman"/>
                <w:color w:val="000000"/>
              </w:rPr>
              <w:t xml:space="preserve"> Bhuj Transmission Limited</w:t>
            </w:r>
          </w:p>
        </w:tc>
        <w:tc>
          <w:tcPr>
            <w:tcW w:w="907" w:type="pct"/>
            <w:vAlign w:val="center"/>
          </w:tcPr>
          <w:p w14:paraId="20062101" w14:textId="77777777" w:rsidR="006B1708" w:rsidRPr="00FC346C" w:rsidRDefault="006B1708" w:rsidP="004720FA">
            <w:pPr>
              <w:jc w:val="center"/>
              <w:rPr>
                <w:rFonts w:ascii="Times New Roman" w:hAnsi="Times New Roman" w:cs="Times New Roman"/>
              </w:rPr>
            </w:pPr>
            <w:r w:rsidRPr="00FC346C">
              <w:rPr>
                <w:rFonts w:ascii="Times New Roman" w:hAnsi="Times New Roman" w:cs="Times New Roman"/>
              </w:rPr>
              <w:t xml:space="preserve">Transmission scheme for evacuation of 3GW RE injection at </w:t>
            </w:r>
            <w:proofErr w:type="spellStart"/>
            <w:r w:rsidRPr="00FC346C">
              <w:rPr>
                <w:rFonts w:ascii="Times New Roman" w:hAnsi="Times New Roman" w:cs="Times New Roman"/>
              </w:rPr>
              <w:t>Khavda</w:t>
            </w:r>
            <w:proofErr w:type="spellEnd"/>
            <w:r w:rsidRPr="00FC346C">
              <w:rPr>
                <w:rFonts w:ascii="Times New Roman" w:hAnsi="Times New Roman" w:cs="Times New Roman"/>
              </w:rPr>
              <w:t xml:space="preserve"> P.S. under Phase-I</w:t>
            </w:r>
          </w:p>
        </w:tc>
        <w:tc>
          <w:tcPr>
            <w:tcW w:w="487" w:type="pct"/>
            <w:vAlign w:val="center"/>
          </w:tcPr>
          <w:p w14:paraId="262CE201"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Adani TL</w:t>
            </w:r>
          </w:p>
        </w:tc>
        <w:tc>
          <w:tcPr>
            <w:tcW w:w="626" w:type="pct"/>
            <w:vAlign w:val="center"/>
          </w:tcPr>
          <w:p w14:paraId="22E71483"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1180.00</w:t>
            </w:r>
          </w:p>
        </w:tc>
        <w:tc>
          <w:tcPr>
            <w:tcW w:w="418" w:type="pct"/>
            <w:vAlign w:val="center"/>
          </w:tcPr>
          <w:p w14:paraId="160A9865"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100.03</w:t>
            </w:r>
          </w:p>
        </w:tc>
        <w:tc>
          <w:tcPr>
            <w:tcW w:w="487" w:type="pct"/>
            <w:vAlign w:val="center"/>
          </w:tcPr>
          <w:p w14:paraId="2F851403"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198.36</w:t>
            </w:r>
          </w:p>
        </w:tc>
        <w:tc>
          <w:tcPr>
            <w:tcW w:w="558" w:type="pct"/>
            <w:vAlign w:val="center"/>
          </w:tcPr>
          <w:p w14:paraId="1F5D8F35"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98.33</w:t>
            </w:r>
          </w:p>
        </w:tc>
        <w:tc>
          <w:tcPr>
            <w:tcW w:w="474" w:type="pct"/>
            <w:vAlign w:val="center"/>
          </w:tcPr>
          <w:p w14:paraId="634BAF1B"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49.57%</w:t>
            </w:r>
          </w:p>
        </w:tc>
      </w:tr>
      <w:tr w:rsidR="006B1708" w:rsidRPr="00FC346C" w14:paraId="6C3E0D5D" w14:textId="77777777" w:rsidTr="006B1708">
        <w:tc>
          <w:tcPr>
            <w:tcW w:w="272" w:type="pct"/>
            <w:vAlign w:val="center"/>
          </w:tcPr>
          <w:p w14:paraId="5C89CB95" w14:textId="77777777" w:rsidR="006B1708" w:rsidRPr="00FC346C" w:rsidRDefault="006B1708" w:rsidP="004720FA">
            <w:pPr>
              <w:spacing w:line="360" w:lineRule="auto"/>
              <w:jc w:val="center"/>
              <w:rPr>
                <w:rFonts w:ascii="Times New Roman" w:hAnsi="Times New Roman" w:cs="Times New Roman"/>
              </w:rPr>
            </w:pPr>
            <w:r w:rsidRPr="00FC346C">
              <w:rPr>
                <w:rFonts w:ascii="Times New Roman" w:hAnsi="Times New Roman" w:cs="Times New Roman"/>
              </w:rPr>
              <w:t>17</w:t>
            </w:r>
          </w:p>
        </w:tc>
        <w:tc>
          <w:tcPr>
            <w:tcW w:w="771" w:type="pct"/>
            <w:vAlign w:val="center"/>
          </w:tcPr>
          <w:p w14:paraId="2D540984"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WRSS XXI(A) Transco Limited</w:t>
            </w:r>
          </w:p>
        </w:tc>
        <w:tc>
          <w:tcPr>
            <w:tcW w:w="907" w:type="pct"/>
            <w:vAlign w:val="center"/>
          </w:tcPr>
          <w:p w14:paraId="0BFDE67F" w14:textId="77777777" w:rsidR="006B1708" w:rsidRPr="00FC346C" w:rsidRDefault="006B1708" w:rsidP="004720FA">
            <w:pPr>
              <w:jc w:val="center"/>
              <w:rPr>
                <w:rFonts w:ascii="Times New Roman" w:hAnsi="Times New Roman" w:cs="Times New Roman"/>
              </w:rPr>
            </w:pPr>
            <w:r w:rsidRPr="00FC346C">
              <w:rPr>
                <w:rFonts w:ascii="Times New Roman" w:hAnsi="Times New Roman" w:cs="Times New Roman"/>
              </w:rPr>
              <w:t xml:space="preserve">Transmission System for Western Region Strengthening Scheme – 21 (WRSS – 21) Part – A – </w:t>
            </w:r>
            <w:proofErr w:type="spellStart"/>
            <w:r w:rsidRPr="00FC346C">
              <w:rPr>
                <w:rFonts w:ascii="Times New Roman" w:hAnsi="Times New Roman" w:cs="Times New Roman"/>
              </w:rPr>
              <w:t>Trasnsmission</w:t>
            </w:r>
            <w:proofErr w:type="spellEnd"/>
            <w:r w:rsidRPr="00FC346C">
              <w:rPr>
                <w:rFonts w:ascii="Times New Roman" w:hAnsi="Times New Roman" w:cs="Times New Roman"/>
              </w:rPr>
              <w:t xml:space="preserve"> System Strengthening for Relieving Over Loadings Observed in Gujarat Intra-State System Due to Re-injections in Bhuj PS</w:t>
            </w:r>
          </w:p>
        </w:tc>
        <w:tc>
          <w:tcPr>
            <w:tcW w:w="487" w:type="pct"/>
            <w:vAlign w:val="center"/>
          </w:tcPr>
          <w:p w14:paraId="26804BF0"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Adani TL</w:t>
            </w:r>
          </w:p>
        </w:tc>
        <w:tc>
          <w:tcPr>
            <w:tcW w:w="626" w:type="pct"/>
            <w:vAlign w:val="center"/>
          </w:tcPr>
          <w:p w14:paraId="22EDF9B3"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1090.00</w:t>
            </w:r>
          </w:p>
        </w:tc>
        <w:tc>
          <w:tcPr>
            <w:tcW w:w="418" w:type="pct"/>
            <w:vAlign w:val="center"/>
          </w:tcPr>
          <w:p w14:paraId="1E9114C2"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95.10</w:t>
            </w:r>
          </w:p>
        </w:tc>
        <w:tc>
          <w:tcPr>
            <w:tcW w:w="487" w:type="pct"/>
            <w:vAlign w:val="center"/>
          </w:tcPr>
          <w:p w14:paraId="3ED609F4"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174.60</w:t>
            </w:r>
          </w:p>
        </w:tc>
        <w:tc>
          <w:tcPr>
            <w:tcW w:w="558" w:type="pct"/>
            <w:vAlign w:val="center"/>
          </w:tcPr>
          <w:p w14:paraId="3448A750"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79.50</w:t>
            </w:r>
          </w:p>
        </w:tc>
        <w:tc>
          <w:tcPr>
            <w:tcW w:w="474" w:type="pct"/>
            <w:vAlign w:val="center"/>
          </w:tcPr>
          <w:p w14:paraId="62478173"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45.53%</w:t>
            </w:r>
          </w:p>
        </w:tc>
      </w:tr>
      <w:tr w:rsidR="006B1708" w:rsidRPr="00FC346C" w14:paraId="484C2CD0" w14:textId="77777777" w:rsidTr="006B1708">
        <w:tc>
          <w:tcPr>
            <w:tcW w:w="272" w:type="pct"/>
            <w:vAlign w:val="center"/>
          </w:tcPr>
          <w:p w14:paraId="23939AE7" w14:textId="77777777" w:rsidR="006B1708" w:rsidRPr="00FC346C" w:rsidRDefault="006B1708" w:rsidP="004720FA">
            <w:pPr>
              <w:spacing w:line="360" w:lineRule="auto"/>
              <w:jc w:val="center"/>
              <w:rPr>
                <w:rFonts w:ascii="Times New Roman" w:hAnsi="Times New Roman" w:cs="Times New Roman"/>
              </w:rPr>
            </w:pPr>
            <w:r w:rsidRPr="00FC346C">
              <w:rPr>
                <w:rFonts w:ascii="Times New Roman" w:hAnsi="Times New Roman" w:cs="Times New Roman"/>
              </w:rPr>
              <w:t>18</w:t>
            </w:r>
          </w:p>
        </w:tc>
        <w:tc>
          <w:tcPr>
            <w:tcW w:w="771" w:type="pct"/>
            <w:vAlign w:val="center"/>
          </w:tcPr>
          <w:p w14:paraId="70AA5BF8" w14:textId="77777777" w:rsidR="006B1708" w:rsidRPr="00FC346C" w:rsidRDefault="006B1708" w:rsidP="004720FA">
            <w:pPr>
              <w:jc w:val="center"/>
              <w:rPr>
                <w:rFonts w:ascii="Times New Roman" w:hAnsi="Times New Roman" w:cs="Times New Roman"/>
                <w:color w:val="000000"/>
              </w:rPr>
            </w:pPr>
            <w:proofErr w:type="spellStart"/>
            <w:r w:rsidRPr="00FC346C">
              <w:rPr>
                <w:rFonts w:ascii="Times New Roman" w:hAnsi="Times New Roman" w:cs="Times New Roman"/>
                <w:color w:val="000000"/>
              </w:rPr>
              <w:t>Lakadia</w:t>
            </w:r>
            <w:proofErr w:type="spellEnd"/>
            <w:r w:rsidRPr="00FC346C">
              <w:rPr>
                <w:rFonts w:ascii="Times New Roman" w:hAnsi="Times New Roman" w:cs="Times New Roman"/>
                <w:color w:val="000000"/>
              </w:rPr>
              <w:t xml:space="preserve"> </w:t>
            </w:r>
            <w:proofErr w:type="spellStart"/>
            <w:r w:rsidRPr="00FC346C">
              <w:rPr>
                <w:rFonts w:ascii="Times New Roman" w:hAnsi="Times New Roman" w:cs="Times New Roman"/>
                <w:color w:val="000000"/>
              </w:rPr>
              <w:t>Banaskantha</w:t>
            </w:r>
            <w:proofErr w:type="spellEnd"/>
            <w:r w:rsidRPr="00FC346C">
              <w:rPr>
                <w:rFonts w:ascii="Times New Roman" w:hAnsi="Times New Roman" w:cs="Times New Roman"/>
                <w:color w:val="000000"/>
              </w:rPr>
              <w:t xml:space="preserve"> Transco Limited</w:t>
            </w:r>
          </w:p>
        </w:tc>
        <w:tc>
          <w:tcPr>
            <w:tcW w:w="907" w:type="pct"/>
            <w:vAlign w:val="center"/>
          </w:tcPr>
          <w:p w14:paraId="529720F2" w14:textId="77777777" w:rsidR="006B1708" w:rsidRPr="00FC346C" w:rsidRDefault="006B1708" w:rsidP="004720FA">
            <w:pPr>
              <w:jc w:val="center"/>
              <w:rPr>
                <w:rFonts w:ascii="Times New Roman" w:hAnsi="Times New Roman" w:cs="Times New Roman"/>
              </w:rPr>
            </w:pPr>
            <w:r w:rsidRPr="00FC346C">
              <w:rPr>
                <w:rFonts w:ascii="Times New Roman" w:hAnsi="Times New Roman" w:cs="Times New Roman"/>
              </w:rPr>
              <w:t xml:space="preserve">Transmission System for Transmission System Associated with RE Generations at Bhuj-II, Dwarka &amp; </w:t>
            </w:r>
            <w:proofErr w:type="spellStart"/>
            <w:r w:rsidRPr="00FC346C">
              <w:rPr>
                <w:rFonts w:ascii="Times New Roman" w:hAnsi="Times New Roman" w:cs="Times New Roman"/>
              </w:rPr>
              <w:t>Lakadia</w:t>
            </w:r>
            <w:proofErr w:type="spellEnd"/>
          </w:p>
        </w:tc>
        <w:tc>
          <w:tcPr>
            <w:tcW w:w="487" w:type="pct"/>
            <w:vAlign w:val="center"/>
          </w:tcPr>
          <w:p w14:paraId="0AD7B477"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Adani TL</w:t>
            </w:r>
          </w:p>
        </w:tc>
        <w:tc>
          <w:tcPr>
            <w:tcW w:w="626" w:type="pct"/>
            <w:vAlign w:val="center"/>
          </w:tcPr>
          <w:p w14:paraId="1032F6D3"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1052.00</w:t>
            </w:r>
          </w:p>
        </w:tc>
        <w:tc>
          <w:tcPr>
            <w:tcW w:w="418" w:type="pct"/>
            <w:vAlign w:val="center"/>
          </w:tcPr>
          <w:p w14:paraId="0E33BBF8"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83.50</w:t>
            </w:r>
          </w:p>
        </w:tc>
        <w:tc>
          <w:tcPr>
            <w:tcW w:w="487" w:type="pct"/>
            <w:vAlign w:val="center"/>
          </w:tcPr>
          <w:p w14:paraId="71BEDF39"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141.30</w:t>
            </w:r>
          </w:p>
        </w:tc>
        <w:tc>
          <w:tcPr>
            <w:tcW w:w="558" w:type="pct"/>
            <w:vAlign w:val="center"/>
          </w:tcPr>
          <w:p w14:paraId="42868E82"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57.80</w:t>
            </w:r>
          </w:p>
        </w:tc>
        <w:tc>
          <w:tcPr>
            <w:tcW w:w="474" w:type="pct"/>
            <w:vAlign w:val="center"/>
          </w:tcPr>
          <w:p w14:paraId="3F15F45B"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40.91%</w:t>
            </w:r>
          </w:p>
        </w:tc>
      </w:tr>
      <w:tr w:rsidR="006B1708" w:rsidRPr="00FC346C" w14:paraId="128B6327" w14:textId="77777777" w:rsidTr="006B1708">
        <w:tc>
          <w:tcPr>
            <w:tcW w:w="272" w:type="pct"/>
            <w:vAlign w:val="center"/>
          </w:tcPr>
          <w:p w14:paraId="2D5FF4AA" w14:textId="77777777" w:rsidR="006B1708" w:rsidRPr="00FC346C" w:rsidRDefault="006B1708" w:rsidP="004720FA">
            <w:pPr>
              <w:spacing w:line="360" w:lineRule="auto"/>
              <w:jc w:val="center"/>
              <w:rPr>
                <w:rFonts w:ascii="Times New Roman" w:hAnsi="Times New Roman" w:cs="Times New Roman"/>
              </w:rPr>
            </w:pPr>
            <w:r w:rsidRPr="00FC346C">
              <w:rPr>
                <w:rFonts w:ascii="Times New Roman" w:hAnsi="Times New Roman" w:cs="Times New Roman"/>
              </w:rPr>
              <w:t>19</w:t>
            </w:r>
          </w:p>
        </w:tc>
        <w:tc>
          <w:tcPr>
            <w:tcW w:w="771" w:type="pct"/>
            <w:vAlign w:val="center"/>
          </w:tcPr>
          <w:p w14:paraId="5539F413"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Sikar II- Aligarh Transmission Ltd.</w:t>
            </w:r>
          </w:p>
        </w:tc>
        <w:tc>
          <w:tcPr>
            <w:tcW w:w="907" w:type="pct"/>
            <w:vAlign w:val="center"/>
          </w:tcPr>
          <w:p w14:paraId="2B556055" w14:textId="77777777" w:rsidR="006B1708" w:rsidRPr="00FC346C" w:rsidRDefault="006B1708" w:rsidP="004720FA">
            <w:pPr>
              <w:jc w:val="center"/>
              <w:rPr>
                <w:rFonts w:ascii="Times New Roman" w:hAnsi="Times New Roman" w:cs="Times New Roman"/>
              </w:rPr>
            </w:pPr>
            <w:r w:rsidRPr="00FC346C">
              <w:rPr>
                <w:rFonts w:ascii="Times New Roman" w:hAnsi="Times New Roman" w:cs="Times New Roman"/>
              </w:rPr>
              <w:t>Transmission system associated with LTA applications from Rajasthan SEZ Part-D, Phase-II</w:t>
            </w:r>
          </w:p>
        </w:tc>
        <w:tc>
          <w:tcPr>
            <w:tcW w:w="487" w:type="pct"/>
            <w:vAlign w:val="center"/>
          </w:tcPr>
          <w:p w14:paraId="055D7825"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PGCIL</w:t>
            </w:r>
          </w:p>
        </w:tc>
        <w:tc>
          <w:tcPr>
            <w:tcW w:w="626" w:type="pct"/>
            <w:vAlign w:val="center"/>
          </w:tcPr>
          <w:p w14:paraId="6DD6E00E"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1006.00</w:t>
            </w:r>
          </w:p>
        </w:tc>
        <w:tc>
          <w:tcPr>
            <w:tcW w:w="418" w:type="pct"/>
            <w:vAlign w:val="center"/>
          </w:tcPr>
          <w:p w14:paraId="675E7743"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99.70</w:t>
            </w:r>
          </w:p>
        </w:tc>
        <w:tc>
          <w:tcPr>
            <w:tcW w:w="487" w:type="pct"/>
            <w:vAlign w:val="center"/>
          </w:tcPr>
          <w:p w14:paraId="2E12410C"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195.50</w:t>
            </w:r>
          </w:p>
        </w:tc>
        <w:tc>
          <w:tcPr>
            <w:tcW w:w="558" w:type="pct"/>
            <w:vAlign w:val="center"/>
          </w:tcPr>
          <w:p w14:paraId="0D563EEE"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95.80</w:t>
            </w:r>
          </w:p>
        </w:tc>
        <w:tc>
          <w:tcPr>
            <w:tcW w:w="474" w:type="pct"/>
            <w:vAlign w:val="center"/>
          </w:tcPr>
          <w:p w14:paraId="40B8F492"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49.00%</w:t>
            </w:r>
          </w:p>
        </w:tc>
      </w:tr>
      <w:tr w:rsidR="006B1708" w:rsidRPr="00FC346C" w14:paraId="29E39979" w14:textId="77777777" w:rsidTr="006B1708">
        <w:tc>
          <w:tcPr>
            <w:tcW w:w="272" w:type="pct"/>
            <w:vAlign w:val="center"/>
          </w:tcPr>
          <w:p w14:paraId="0867880B" w14:textId="77777777" w:rsidR="006B1708" w:rsidRPr="00FC346C" w:rsidRDefault="006B1708" w:rsidP="004720FA">
            <w:pPr>
              <w:spacing w:line="360" w:lineRule="auto"/>
              <w:jc w:val="center"/>
              <w:rPr>
                <w:rFonts w:ascii="Times New Roman" w:hAnsi="Times New Roman" w:cs="Times New Roman"/>
              </w:rPr>
            </w:pPr>
            <w:r w:rsidRPr="00FC346C">
              <w:rPr>
                <w:rFonts w:ascii="Times New Roman" w:hAnsi="Times New Roman" w:cs="Times New Roman"/>
              </w:rPr>
              <w:t>20</w:t>
            </w:r>
          </w:p>
        </w:tc>
        <w:tc>
          <w:tcPr>
            <w:tcW w:w="771" w:type="pct"/>
            <w:vAlign w:val="center"/>
          </w:tcPr>
          <w:p w14:paraId="06DABC4E" w14:textId="77777777" w:rsidR="006B1708" w:rsidRPr="00FC346C" w:rsidRDefault="006B1708" w:rsidP="004720FA">
            <w:pPr>
              <w:jc w:val="center"/>
              <w:rPr>
                <w:rFonts w:ascii="Times New Roman" w:hAnsi="Times New Roman" w:cs="Times New Roman"/>
                <w:color w:val="000000"/>
              </w:rPr>
            </w:pPr>
            <w:proofErr w:type="spellStart"/>
            <w:r w:rsidRPr="00FC346C">
              <w:rPr>
                <w:rFonts w:ascii="Times New Roman" w:hAnsi="Times New Roman" w:cs="Times New Roman"/>
                <w:color w:val="000000"/>
              </w:rPr>
              <w:t>Powergrid</w:t>
            </w:r>
            <w:proofErr w:type="spellEnd"/>
            <w:r w:rsidRPr="00FC346C">
              <w:rPr>
                <w:rFonts w:ascii="Times New Roman" w:hAnsi="Times New Roman" w:cs="Times New Roman"/>
                <w:color w:val="000000"/>
              </w:rPr>
              <w:t xml:space="preserve"> Jabalpur Transmission Limited</w:t>
            </w:r>
          </w:p>
        </w:tc>
        <w:tc>
          <w:tcPr>
            <w:tcW w:w="907" w:type="pct"/>
            <w:vAlign w:val="center"/>
          </w:tcPr>
          <w:p w14:paraId="1076B98E" w14:textId="77777777" w:rsidR="006B1708" w:rsidRPr="00FC346C" w:rsidRDefault="006B1708" w:rsidP="004720FA">
            <w:pPr>
              <w:jc w:val="center"/>
              <w:rPr>
                <w:rFonts w:ascii="Times New Roman" w:hAnsi="Times New Roman" w:cs="Times New Roman"/>
              </w:rPr>
            </w:pPr>
            <w:r w:rsidRPr="00FC346C">
              <w:rPr>
                <w:rFonts w:ascii="Times New Roman" w:hAnsi="Times New Roman" w:cs="Times New Roman"/>
              </w:rPr>
              <w:t xml:space="preserve">Transmission System Strengthening associated with </w:t>
            </w:r>
            <w:proofErr w:type="spellStart"/>
            <w:r w:rsidRPr="00FC346C">
              <w:rPr>
                <w:rFonts w:ascii="Times New Roman" w:hAnsi="Times New Roman" w:cs="Times New Roman"/>
              </w:rPr>
              <w:t>Vindhyachal</w:t>
            </w:r>
            <w:proofErr w:type="spellEnd"/>
            <w:r w:rsidRPr="00FC346C">
              <w:rPr>
                <w:rFonts w:ascii="Times New Roman" w:hAnsi="Times New Roman" w:cs="Times New Roman"/>
              </w:rPr>
              <w:t>- V</w:t>
            </w:r>
          </w:p>
        </w:tc>
        <w:tc>
          <w:tcPr>
            <w:tcW w:w="487" w:type="pct"/>
            <w:vAlign w:val="center"/>
          </w:tcPr>
          <w:p w14:paraId="35B93F6C"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PGCIL</w:t>
            </w:r>
          </w:p>
        </w:tc>
        <w:tc>
          <w:tcPr>
            <w:tcW w:w="626" w:type="pct"/>
            <w:vAlign w:val="center"/>
          </w:tcPr>
          <w:p w14:paraId="1EC2ECFA"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1000.00</w:t>
            </w:r>
          </w:p>
        </w:tc>
        <w:tc>
          <w:tcPr>
            <w:tcW w:w="418" w:type="pct"/>
            <w:vAlign w:val="center"/>
          </w:tcPr>
          <w:p w14:paraId="3709E506"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211.00</w:t>
            </w:r>
          </w:p>
        </w:tc>
        <w:tc>
          <w:tcPr>
            <w:tcW w:w="487" w:type="pct"/>
            <w:vAlign w:val="center"/>
          </w:tcPr>
          <w:p w14:paraId="11A3E57C"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421.40</w:t>
            </w:r>
          </w:p>
        </w:tc>
        <w:tc>
          <w:tcPr>
            <w:tcW w:w="558" w:type="pct"/>
            <w:vAlign w:val="center"/>
          </w:tcPr>
          <w:p w14:paraId="57A77267"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210.40</w:t>
            </w:r>
          </w:p>
        </w:tc>
        <w:tc>
          <w:tcPr>
            <w:tcW w:w="474" w:type="pct"/>
            <w:vAlign w:val="center"/>
          </w:tcPr>
          <w:p w14:paraId="4DDCC7A3"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49.93%</w:t>
            </w:r>
          </w:p>
        </w:tc>
      </w:tr>
      <w:tr w:rsidR="006B1708" w:rsidRPr="00FC346C" w14:paraId="71C8E82F" w14:textId="77777777" w:rsidTr="006B1708">
        <w:tc>
          <w:tcPr>
            <w:tcW w:w="272" w:type="pct"/>
            <w:vAlign w:val="center"/>
          </w:tcPr>
          <w:p w14:paraId="1B8387F5" w14:textId="77777777" w:rsidR="006B1708" w:rsidRPr="00FC346C" w:rsidRDefault="006B1708" w:rsidP="004720FA">
            <w:pPr>
              <w:spacing w:line="360" w:lineRule="auto"/>
              <w:jc w:val="center"/>
              <w:rPr>
                <w:rFonts w:ascii="Times New Roman" w:hAnsi="Times New Roman" w:cs="Times New Roman"/>
              </w:rPr>
            </w:pPr>
            <w:r w:rsidRPr="00FC346C">
              <w:rPr>
                <w:rFonts w:ascii="Times New Roman" w:hAnsi="Times New Roman" w:cs="Times New Roman"/>
              </w:rPr>
              <w:t>21</w:t>
            </w:r>
          </w:p>
        </w:tc>
        <w:tc>
          <w:tcPr>
            <w:tcW w:w="771" w:type="pct"/>
            <w:vAlign w:val="center"/>
          </w:tcPr>
          <w:p w14:paraId="2003830B"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WR-NR Power Transmission Limited</w:t>
            </w:r>
          </w:p>
        </w:tc>
        <w:tc>
          <w:tcPr>
            <w:tcW w:w="907" w:type="pct"/>
            <w:vAlign w:val="center"/>
          </w:tcPr>
          <w:p w14:paraId="41C709F3" w14:textId="77777777" w:rsidR="006B1708" w:rsidRPr="00FC346C" w:rsidRDefault="006B1708" w:rsidP="004720FA">
            <w:pPr>
              <w:jc w:val="center"/>
              <w:rPr>
                <w:rFonts w:ascii="Times New Roman" w:hAnsi="Times New Roman" w:cs="Times New Roman"/>
              </w:rPr>
            </w:pPr>
            <w:r w:rsidRPr="00FC346C">
              <w:rPr>
                <w:rFonts w:ascii="Times New Roman" w:hAnsi="Times New Roman" w:cs="Times New Roman"/>
              </w:rPr>
              <w:t>New WR- NR 765 kV Inter-Regional corridor</w:t>
            </w:r>
          </w:p>
        </w:tc>
        <w:tc>
          <w:tcPr>
            <w:tcW w:w="487" w:type="pct"/>
            <w:vAlign w:val="center"/>
          </w:tcPr>
          <w:p w14:paraId="0BD577A9"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PGCIL</w:t>
            </w:r>
          </w:p>
        </w:tc>
        <w:tc>
          <w:tcPr>
            <w:tcW w:w="626" w:type="pct"/>
            <w:vAlign w:val="center"/>
          </w:tcPr>
          <w:p w14:paraId="175C53B5"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916.00</w:t>
            </w:r>
          </w:p>
        </w:tc>
        <w:tc>
          <w:tcPr>
            <w:tcW w:w="418" w:type="pct"/>
            <w:vAlign w:val="center"/>
          </w:tcPr>
          <w:p w14:paraId="4C03FAE7"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92.70</w:t>
            </w:r>
          </w:p>
        </w:tc>
        <w:tc>
          <w:tcPr>
            <w:tcW w:w="487" w:type="pct"/>
            <w:vAlign w:val="center"/>
          </w:tcPr>
          <w:p w14:paraId="4FBD59F1"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141.00</w:t>
            </w:r>
          </w:p>
        </w:tc>
        <w:tc>
          <w:tcPr>
            <w:tcW w:w="558" w:type="pct"/>
            <w:vAlign w:val="center"/>
          </w:tcPr>
          <w:p w14:paraId="2E304D37"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48.30</w:t>
            </w:r>
          </w:p>
        </w:tc>
        <w:tc>
          <w:tcPr>
            <w:tcW w:w="474" w:type="pct"/>
            <w:vAlign w:val="center"/>
          </w:tcPr>
          <w:p w14:paraId="0E0F0895"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34.26%</w:t>
            </w:r>
          </w:p>
        </w:tc>
      </w:tr>
      <w:tr w:rsidR="006B1708" w:rsidRPr="00FC346C" w14:paraId="3599E6B2" w14:textId="77777777" w:rsidTr="006B1708">
        <w:tc>
          <w:tcPr>
            <w:tcW w:w="272" w:type="pct"/>
            <w:vAlign w:val="center"/>
          </w:tcPr>
          <w:p w14:paraId="43804BC9" w14:textId="77777777" w:rsidR="006B1708" w:rsidRPr="00FC346C" w:rsidRDefault="006B1708" w:rsidP="004720FA">
            <w:pPr>
              <w:spacing w:line="360" w:lineRule="auto"/>
              <w:jc w:val="center"/>
              <w:rPr>
                <w:rFonts w:ascii="Times New Roman" w:hAnsi="Times New Roman" w:cs="Times New Roman"/>
              </w:rPr>
            </w:pPr>
            <w:r w:rsidRPr="00FC346C">
              <w:rPr>
                <w:rFonts w:ascii="Times New Roman" w:hAnsi="Times New Roman" w:cs="Times New Roman"/>
              </w:rPr>
              <w:t>22</w:t>
            </w:r>
          </w:p>
        </w:tc>
        <w:tc>
          <w:tcPr>
            <w:tcW w:w="771" w:type="pct"/>
            <w:vAlign w:val="center"/>
          </w:tcPr>
          <w:p w14:paraId="2BE82979"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 xml:space="preserve">Udupi </w:t>
            </w:r>
            <w:proofErr w:type="spellStart"/>
            <w:r w:rsidRPr="00FC346C">
              <w:rPr>
                <w:rFonts w:ascii="Times New Roman" w:hAnsi="Times New Roman" w:cs="Times New Roman"/>
                <w:color w:val="000000"/>
              </w:rPr>
              <w:t>Kasargode</w:t>
            </w:r>
            <w:proofErr w:type="spellEnd"/>
            <w:r w:rsidRPr="00FC346C">
              <w:rPr>
                <w:rFonts w:ascii="Times New Roman" w:hAnsi="Times New Roman" w:cs="Times New Roman"/>
                <w:color w:val="000000"/>
              </w:rPr>
              <w:t xml:space="preserve"> Transmission Limited (Sterlite grid 14)</w:t>
            </w:r>
          </w:p>
        </w:tc>
        <w:tc>
          <w:tcPr>
            <w:tcW w:w="907" w:type="pct"/>
            <w:vAlign w:val="center"/>
          </w:tcPr>
          <w:p w14:paraId="048BDD6E" w14:textId="77777777" w:rsidR="006B1708" w:rsidRPr="00FC346C" w:rsidRDefault="006B1708" w:rsidP="004720FA">
            <w:pPr>
              <w:jc w:val="center"/>
              <w:rPr>
                <w:rFonts w:ascii="Times New Roman" w:hAnsi="Times New Roman" w:cs="Times New Roman"/>
              </w:rPr>
            </w:pPr>
            <w:r w:rsidRPr="00FC346C">
              <w:rPr>
                <w:rFonts w:ascii="Times New Roman" w:hAnsi="Times New Roman" w:cs="Times New Roman"/>
              </w:rPr>
              <w:t xml:space="preserve">Establish Transmission System for 400 kV Udupi (UPCL) – </w:t>
            </w:r>
            <w:proofErr w:type="spellStart"/>
            <w:r w:rsidRPr="00FC346C">
              <w:rPr>
                <w:rFonts w:ascii="Times New Roman" w:hAnsi="Times New Roman" w:cs="Times New Roman"/>
              </w:rPr>
              <w:t>Kasargode</w:t>
            </w:r>
            <w:proofErr w:type="spellEnd"/>
            <w:r w:rsidRPr="00FC346C">
              <w:rPr>
                <w:rFonts w:ascii="Times New Roman" w:hAnsi="Times New Roman" w:cs="Times New Roman"/>
              </w:rPr>
              <w:t xml:space="preserve"> D/C Line</w:t>
            </w:r>
          </w:p>
        </w:tc>
        <w:tc>
          <w:tcPr>
            <w:tcW w:w="487" w:type="pct"/>
            <w:vAlign w:val="center"/>
          </w:tcPr>
          <w:p w14:paraId="04BA699B"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Sterlite Power TL</w:t>
            </w:r>
          </w:p>
        </w:tc>
        <w:tc>
          <w:tcPr>
            <w:tcW w:w="626" w:type="pct"/>
            <w:vAlign w:val="center"/>
          </w:tcPr>
          <w:p w14:paraId="7E720BF6"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754.87</w:t>
            </w:r>
          </w:p>
        </w:tc>
        <w:tc>
          <w:tcPr>
            <w:tcW w:w="418" w:type="pct"/>
            <w:vAlign w:val="center"/>
          </w:tcPr>
          <w:p w14:paraId="7841E675"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84.70</w:t>
            </w:r>
          </w:p>
        </w:tc>
        <w:tc>
          <w:tcPr>
            <w:tcW w:w="487" w:type="pct"/>
            <w:vAlign w:val="center"/>
          </w:tcPr>
          <w:p w14:paraId="13330DB8"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114.40</w:t>
            </w:r>
          </w:p>
        </w:tc>
        <w:tc>
          <w:tcPr>
            <w:tcW w:w="558" w:type="pct"/>
            <w:vAlign w:val="center"/>
          </w:tcPr>
          <w:p w14:paraId="28A1FF06"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29.70</w:t>
            </w:r>
          </w:p>
        </w:tc>
        <w:tc>
          <w:tcPr>
            <w:tcW w:w="474" w:type="pct"/>
            <w:vAlign w:val="center"/>
          </w:tcPr>
          <w:p w14:paraId="69C13EFA"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25.96%</w:t>
            </w:r>
          </w:p>
        </w:tc>
      </w:tr>
      <w:tr w:rsidR="006B1708" w:rsidRPr="00FC346C" w14:paraId="21193F49" w14:textId="77777777" w:rsidTr="006B1708">
        <w:tc>
          <w:tcPr>
            <w:tcW w:w="272" w:type="pct"/>
            <w:vAlign w:val="center"/>
          </w:tcPr>
          <w:p w14:paraId="6C340763" w14:textId="77777777" w:rsidR="006B1708" w:rsidRPr="00FC346C" w:rsidRDefault="006B1708" w:rsidP="004720FA">
            <w:pPr>
              <w:spacing w:line="360" w:lineRule="auto"/>
              <w:jc w:val="center"/>
              <w:rPr>
                <w:rFonts w:ascii="Times New Roman" w:hAnsi="Times New Roman" w:cs="Times New Roman"/>
              </w:rPr>
            </w:pPr>
            <w:r w:rsidRPr="00FC346C">
              <w:rPr>
                <w:rFonts w:ascii="Times New Roman" w:hAnsi="Times New Roman" w:cs="Times New Roman"/>
              </w:rPr>
              <w:t>23</w:t>
            </w:r>
          </w:p>
        </w:tc>
        <w:tc>
          <w:tcPr>
            <w:tcW w:w="771" w:type="pct"/>
            <w:vAlign w:val="center"/>
          </w:tcPr>
          <w:p w14:paraId="230C612B" w14:textId="77777777" w:rsidR="006B1708" w:rsidRPr="00FC346C" w:rsidRDefault="006B1708" w:rsidP="004720FA">
            <w:pPr>
              <w:jc w:val="center"/>
              <w:rPr>
                <w:rFonts w:ascii="Times New Roman" w:hAnsi="Times New Roman" w:cs="Times New Roman"/>
                <w:color w:val="000000"/>
              </w:rPr>
            </w:pPr>
            <w:proofErr w:type="spellStart"/>
            <w:r w:rsidRPr="00FC346C">
              <w:rPr>
                <w:rFonts w:ascii="Times New Roman" w:hAnsi="Times New Roman" w:cs="Times New Roman"/>
                <w:color w:val="000000"/>
              </w:rPr>
              <w:t>Koppal</w:t>
            </w:r>
            <w:proofErr w:type="spellEnd"/>
            <w:r w:rsidRPr="00FC346C">
              <w:rPr>
                <w:rFonts w:ascii="Times New Roman" w:hAnsi="Times New Roman" w:cs="Times New Roman"/>
                <w:color w:val="000000"/>
              </w:rPr>
              <w:t>-Narendra Transmission Limited</w:t>
            </w:r>
          </w:p>
        </w:tc>
        <w:tc>
          <w:tcPr>
            <w:tcW w:w="907" w:type="pct"/>
            <w:vAlign w:val="center"/>
          </w:tcPr>
          <w:p w14:paraId="2CF8805F" w14:textId="77777777" w:rsidR="006B1708" w:rsidRPr="00FC346C" w:rsidRDefault="006B1708" w:rsidP="004720FA">
            <w:pPr>
              <w:jc w:val="center"/>
              <w:rPr>
                <w:rFonts w:ascii="Times New Roman" w:hAnsi="Times New Roman" w:cs="Times New Roman"/>
              </w:rPr>
            </w:pPr>
            <w:r w:rsidRPr="00FC346C">
              <w:rPr>
                <w:rFonts w:ascii="Times New Roman" w:hAnsi="Times New Roman" w:cs="Times New Roman"/>
              </w:rPr>
              <w:t xml:space="preserve">Evacuation of power from RE sources in </w:t>
            </w:r>
            <w:proofErr w:type="spellStart"/>
            <w:r w:rsidRPr="00FC346C">
              <w:rPr>
                <w:rFonts w:ascii="Times New Roman" w:hAnsi="Times New Roman" w:cs="Times New Roman"/>
              </w:rPr>
              <w:t>Koppal</w:t>
            </w:r>
            <w:proofErr w:type="spellEnd"/>
            <w:r w:rsidRPr="00FC346C">
              <w:rPr>
                <w:rFonts w:ascii="Times New Roman" w:hAnsi="Times New Roman" w:cs="Times New Roman"/>
              </w:rPr>
              <w:t xml:space="preserve"> Wind Energy Zone (Karnataka) (2500MW)</w:t>
            </w:r>
          </w:p>
        </w:tc>
        <w:tc>
          <w:tcPr>
            <w:tcW w:w="487" w:type="pct"/>
            <w:vAlign w:val="center"/>
          </w:tcPr>
          <w:p w14:paraId="54617681"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ReNew Transmission Ventures Private Limited</w:t>
            </w:r>
          </w:p>
        </w:tc>
        <w:tc>
          <w:tcPr>
            <w:tcW w:w="626" w:type="pct"/>
            <w:vAlign w:val="center"/>
          </w:tcPr>
          <w:p w14:paraId="3A0C2355"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750.00</w:t>
            </w:r>
          </w:p>
        </w:tc>
        <w:tc>
          <w:tcPr>
            <w:tcW w:w="418" w:type="pct"/>
            <w:vAlign w:val="center"/>
          </w:tcPr>
          <w:p w14:paraId="7EB44001"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61.10</w:t>
            </w:r>
          </w:p>
        </w:tc>
        <w:tc>
          <w:tcPr>
            <w:tcW w:w="487" w:type="pct"/>
            <w:vAlign w:val="center"/>
          </w:tcPr>
          <w:p w14:paraId="6408552E"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120.80</w:t>
            </w:r>
          </w:p>
        </w:tc>
        <w:tc>
          <w:tcPr>
            <w:tcW w:w="558" w:type="pct"/>
            <w:vAlign w:val="center"/>
          </w:tcPr>
          <w:p w14:paraId="2EB8B86D"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59.70</w:t>
            </w:r>
          </w:p>
        </w:tc>
        <w:tc>
          <w:tcPr>
            <w:tcW w:w="474" w:type="pct"/>
            <w:vAlign w:val="center"/>
          </w:tcPr>
          <w:p w14:paraId="7F880AF4"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49.42%</w:t>
            </w:r>
          </w:p>
        </w:tc>
      </w:tr>
      <w:tr w:rsidR="006B1708" w:rsidRPr="00FC346C" w14:paraId="0615FB5F" w14:textId="77777777" w:rsidTr="006B1708">
        <w:tc>
          <w:tcPr>
            <w:tcW w:w="272" w:type="pct"/>
            <w:vAlign w:val="center"/>
          </w:tcPr>
          <w:p w14:paraId="609D84BF" w14:textId="77777777" w:rsidR="006B1708" w:rsidRPr="00FC346C" w:rsidRDefault="006B1708" w:rsidP="004720FA">
            <w:pPr>
              <w:spacing w:line="360" w:lineRule="auto"/>
              <w:jc w:val="center"/>
              <w:rPr>
                <w:rFonts w:ascii="Times New Roman" w:hAnsi="Times New Roman" w:cs="Times New Roman"/>
              </w:rPr>
            </w:pPr>
            <w:r w:rsidRPr="00FC346C">
              <w:rPr>
                <w:rFonts w:ascii="Times New Roman" w:hAnsi="Times New Roman" w:cs="Times New Roman"/>
              </w:rPr>
              <w:t>24</w:t>
            </w:r>
          </w:p>
        </w:tc>
        <w:tc>
          <w:tcPr>
            <w:tcW w:w="771" w:type="pct"/>
            <w:vAlign w:val="center"/>
          </w:tcPr>
          <w:p w14:paraId="15FA7A31" w14:textId="77777777" w:rsidR="006B1708" w:rsidRPr="00FC346C" w:rsidRDefault="006B1708" w:rsidP="004720FA">
            <w:pPr>
              <w:jc w:val="center"/>
              <w:rPr>
                <w:rFonts w:ascii="Times New Roman" w:hAnsi="Times New Roman" w:cs="Times New Roman"/>
                <w:color w:val="000000"/>
              </w:rPr>
            </w:pPr>
            <w:proofErr w:type="spellStart"/>
            <w:r w:rsidRPr="00FC346C">
              <w:rPr>
                <w:rFonts w:ascii="Times New Roman" w:hAnsi="Times New Roman" w:cs="Times New Roman"/>
                <w:color w:val="000000"/>
              </w:rPr>
              <w:t>Powergrid</w:t>
            </w:r>
            <w:proofErr w:type="spellEnd"/>
            <w:r w:rsidRPr="00FC346C">
              <w:rPr>
                <w:rFonts w:ascii="Times New Roman" w:hAnsi="Times New Roman" w:cs="Times New Roman"/>
                <w:color w:val="000000"/>
              </w:rPr>
              <w:t xml:space="preserve"> </w:t>
            </w:r>
            <w:proofErr w:type="spellStart"/>
            <w:r w:rsidRPr="00FC346C">
              <w:rPr>
                <w:rFonts w:ascii="Times New Roman" w:hAnsi="Times New Roman" w:cs="Times New Roman"/>
                <w:color w:val="000000"/>
              </w:rPr>
              <w:t>Bhadla</w:t>
            </w:r>
            <w:proofErr w:type="spellEnd"/>
            <w:r w:rsidRPr="00FC346C">
              <w:rPr>
                <w:rFonts w:ascii="Times New Roman" w:hAnsi="Times New Roman" w:cs="Times New Roman"/>
                <w:color w:val="000000"/>
              </w:rPr>
              <w:t xml:space="preserve"> Transmission Ltd.</w:t>
            </w:r>
          </w:p>
        </w:tc>
        <w:tc>
          <w:tcPr>
            <w:tcW w:w="907" w:type="pct"/>
            <w:vAlign w:val="center"/>
          </w:tcPr>
          <w:p w14:paraId="452E655E" w14:textId="77777777" w:rsidR="006B1708" w:rsidRPr="00FC346C" w:rsidRDefault="006B1708" w:rsidP="004720FA">
            <w:pPr>
              <w:jc w:val="center"/>
              <w:rPr>
                <w:rFonts w:ascii="Times New Roman" w:hAnsi="Times New Roman" w:cs="Times New Roman"/>
              </w:rPr>
            </w:pPr>
            <w:r w:rsidRPr="00FC346C">
              <w:rPr>
                <w:rFonts w:ascii="Times New Roman" w:hAnsi="Times New Roman" w:cs="Times New Roman"/>
              </w:rPr>
              <w:t>Transmission system associated with LTA applications from Rajasthan SEZ Part-B, Phase-II</w:t>
            </w:r>
          </w:p>
        </w:tc>
        <w:tc>
          <w:tcPr>
            <w:tcW w:w="487" w:type="pct"/>
            <w:vAlign w:val="center"/>
          </w:tcPr>
          <w:p w14:paraId="1FF3B080"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PGCIL</w:t>
            </w:r>
          </w:p>
        </w:tc>
        <w:tc>
          <w:tcPr>
            <w:tcW w:w="626" w:type="pct"/>
            <w:vAlign w:val="center"/>
          </w:tcPr>
          <w:p w14:paraId="62C6E0CF"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713.82</w:t>
            </w:r>
          </w:p>
        </w:tc>
        <w:tc>
          <w:tcPr>
            <w:tcW w:w="418" w:type="pct"/>
            <w:vAlign w:val="center"/>
          </w:tcPr>
          <w:p w14:paraId="02AB5BE4"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72.90</w:t>
            </w:r>
          </w:p>
        </w:tc>
        <w:tc>
          <w:tcPr>
            <w:tcW w:w="487" w:type="pct"/>
            <w:vAlign w:val="center"/>
          </w:tcPr>
          <w:p w14:paraId="02F0E285"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158.40</w:t>
            </w:r>
          </w:p>
        </w:tc>
        <w:tc>
          <w:tcPr>
            <w:tcW w:w="558" w:type="pct"/>
            <w:vAlign w:val="center"/>
          </w:tcPr>
          <w:p w14:paraId="6E2EADA1"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85.50</w:t>
            </w:r>
          </w:p>
        </w:tc>
        <w:tc>
          <w:tcPr>
            <w:tcW w:w="474" w:type="pct"/>
            <w:vAlign w:val="center"/>
          </w:tcPr>
          <w:p w14:paraId="0FC7FBDD"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53.98%</w:t>
            </w:r>
          </w:p>
        </w:tc>
      </w:tr>
      <w:tr w:rsidR="006B1708" w:rsidRPr="00FC346C" w14:paraId="591FEE48" w14:textId="77777777" w:rsidTr="006B1708">
        <w:tc>
          <w:tcPr>
            <w:tcW w:w="272" w:type="pct"/>
            <w:vAlign w:val="center"/>
          </w:tcPr>
          <w:p w14:paraId="145913D3" w14:textId="77777777" w:rsidR="006B1708" w:rsidRPr="00FC346C" w:rsidRDefault="006B1708" w:rsidP="004720FA">
            <w:pPr>
              <w:spacing w:line="360" w:lineRule="auto"/>
              <w:jc w:val="center"/>
              <w:rPr>
                <w:rFonts w:ascii="Times New Roman" w:hAnsi="Times New Roman" w:cs="Times New Roman"/>
              </w:rPr>
            </w:pPr>
            <w:r w:rsidRPr="00FC346C">
              <w:rPr>
                <w:rFonts w:ascii="Times New Roman" w:hAnsi="Times New Roman" w:cs="Times New Roman"/>
              </w:rPr>
              <w:t>25</w:t>
            </w:r>
          </w:p>
        </w:tc>
        <w:tc>
          <w:tcPr>
            <w:tcW w:w="771" w:type="pct"/>
            <w:vAlign w:val="center"/>
          </w:tcPr>
          <w:p w14:paraId="385A54DA" w14:textId="77777777" w:rsidR="006B1708" w:rsidRPr="00FC346C" w:rsidRDefault="006B1708" w:rsidP="004720FA">
            <w:pPr>
              <w:jc w:val="center"/>
              <w:rPr>
                <w:rFonts w:ascii="Times New Roman" w:hAnsi="Times New Roman" w:cs="Times New Roman"/>
                <w:color w:val="000000"/>
              </w:rPr>
            </w:pPr>
            <w:proofErr w:type="spellStart"/>
            <w:r w:rsidRPr="00FC346C">
              <w:rPr>
                <w:rFonts w:ascii="Times New Roman" w:hAnsi="Times New Roman" w:cs="Times New Roman"/>
                <w:color w:val="000000"/>
              </w:rPr>
              <w:t>Fatehgarh</w:t>
            </w:r>
            <w:proofErr w:type="spellEnd"/>
            <w:r w:rsidRPr="00FC346C">
              <w:rPr>
                <w:rFonts w:ascii="Times New Roman" w:hAnsi="Times New Roman" w:cs="Times New Roman"/>
                <w:color w:val="000000"/>
              </w:rPr>
              <w:t>-II Transco Limited</w:t>
            </w:r>
          </w:p>
        </w:tc>
        <w:tc>
          <w:tcPr>
            <w:tcW w:w="907" w:type="pct"/>
            <w:vAlign w:val="center"/>
          </w:tcPr>
          <w:p w14:paraId="7C7608CE" w14:textId="77777777" w:rsidR="006B1708" w:rsidRPr="00FC346C" w:rsidRDefault="006B1708" w:rsidP="004720FA">
            <w:pPr>
              <w:jc w:val="center"/>
              <w:rPr>
                <w:rFonts w:ascii="Times New Roman" w:hAnsi="Times New Roman" w:cs="Times New Roman"/>
              </w:rPr>
            </w:pPr>
            <w:r w:rsidRPr="00FC346C">
              <w:rPr>
                <w:rFonts w:ascii="Times New Roman" w:hAnsi="Times New Roman" w:cs="Times New Roman"/>
              </w:rPr>
              <w:t>Transmission system associated with LTA applications</w:t>
            </w:r>
            <w:r w:rsidRPr="00FC346C">
              <w:rPr>
                <w:rFonts w:ascii="Times New Roman" w:hAnsi="Times New Roman" w:cs="Times New Roman"/>
              </w:rPr>
              <w:br/>
              <w:t>from Rajasthan SEZ Part-B</w:t>
            </w:r>
          </w:p>
        </w:tc>
        <w:tc>
          <w:tcPr>
            <w:tcW w:w="487" w:type="pct"/>
            <w:vAlign w:val="center"/>
          </w:tcPr>
          <w:p w14:paraId="573CD054"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PGCIL</w:t>
            </w:r>
          </w:p>
        </w:tc>
        <w:tc>
          <w:tcPr>
            <w:tcW w:w="626" w:type="pct"/>
            <w:vAlign w:val="center"/>
          </w:tcPr>
          <w:p w14:paraId="53110C58"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676.00</w:t>
            </w:r>
          </w:p>
        </w:tc>
        <w:tc>
          <w:tcPr>
            <w:tcW w:w="418" w:type="pct"/>
            <w:vAlign w:val="center"/>
          </w:tcPr>
          <w:p w14:paraId="5013600A"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71.60</w:t>
            </w:r>
          </w:p>
        </w:tc>
        <w:tc>
          <w:tcPr>
            <w:tcW w:w="487" w:type="pct"/>
            <w:vAlign w:val="center"/>
          </w:tcPr>
          <w:p w14:paraId="125831D5"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158.40</w:t>
            </w:r>
          </w:p>
        </w:tc>
        <w:tc>
          <w:tcPr>
            <w:tcW w:w="558" w:type="pct"/>
            <w:vAlign w:val="center"/>
          </w:tcPr>
          <w:p w14:paraId="5C7C75D2"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86.80</w:t>
            </w:r>
          </w:p>
        </w:tc>
        <w:tc>
          <w:tcPr>
            <w:tcW w:w="474" w:type="pct"/>
            <w:vAlign w:val="center"/>
          </w:tcPr>
          <w:p w14:paraId="2DC0D108"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54.80%</w:t>
            </w:r>
          </w:p>
        </w:tc>
      </w:tr>
      <w:tr w:rsidR="006B1708" w:rsidRPr="00FC346C" w14:paraId="2988D53D" w14:textId="77777777" w:rsidTr="006B1708">
        <w:tc>
          <w:tcPr>
            <w:tcW w:w="272" w:type="pct"/>
            <w:vAlign w:val="center"/>
          </w:tcPr>
          <w:p w14:paraId="390519D9" w14:textId="77777777" w:rsidR="006B1708" w:rsidRPr="00FC346C" w:rsidRDefault="006B1708" w:rsidP="004720FA">
            <w:pPr>
              <w:spacing w:line="360" w:lineRule="auto"/>
              <w:jc w:val="center"/>
              <w:rPr>
                <w:rFonts w:ascii="Times New Roman" w:hAnsi="Times New Roman" w:cs="Times New Roman"/>
              </w:rPr>
            </w:pPr>
            <w:r w:rsidRPr="00FC346C">
              <w:rPr>
                <w:rFonts w:ascii="Times New Roman" w:hAnsi="Times New Roman" w:cs="Times New Roman"/>
              </w:rPr>
              <w:t>26</w:t>
            </w:r>
          </w:p>
        </w:tc>
        <w:tc>
          <w:tcPr>
            <w:tcW w:w="771" w:type="pct"/>
            <w:vAlign w:val="center"/>
          </w:tcPr>
          <w:p w14:paraId="13BD5D92" w14:textId="77777777" w:rsidR="006B1708" w:rsidRPr="00FC346C" w:rsidRDefault="006B1708" w:rsidP="004720FA">
            <w:pPr>
              <w:jc w:val="center"/>
              <w:rPr>
                <w:rFonts w:ascii="Times New Roman" w:hAnsi="Times New Roman" w:cs="Times New Roman"/>
                <w:color w:val="000000"/>
              </w:rPr>
            </w:pPr>
            <w:proofErr w:type="spellStart"/>
            <w:r w:rsidRPr="00FC346C">
              <w:rPr>
                <w:rFonts w:ascii="Times New Roman" w:hAnsi="Times New Roman" w:cs="Times New Roman"/>
                <w:color w:val="000000"/>
              </w:rPr>
              <w:t>Powergrid</w:t>
            </w:r>
            <w:proofErr w:type="spellEnd"/>
            <w:r w:rsidRPr="00FC346C">
              <w:rPr>
                <w:rFonts w:ascii="Times New Roman" w:hAnsi="Times New Roman" w:cs="Times New Roman"/>
                <w:color w:val="000000"/>
              </w:rPr>
              <w:t xml:space="preserve"> Bhuj Transmission Limited</w:t>
            </w:r>
          </w:p>
        </w:tc>
        <w:tc>
          <w:tcPr>
            <w:tcW w:w="907" w:type="pct"/>
            <w:vAlign w:val="center"/>
          </w:tcPr>
          <w:p w14:paraId="62BB654E" w14:textId="77777777" w:rsidR="006B1708" w:rsidRPr="00FC346C" w:rsidRDefault="006B1708" w:rsidP="004720FA">
            <w:pPr>
              <w:jc w:val="center"/>
              <w:rPr>
                <w:rFonts w:ascii="Times New Roman" w:hAnsi="Times New Roman" w:cs="Times New Roman"/>
              </w:rPr>
            </w:pPr>
            <w:r w:rsidRPr="00FC346C">
              <w:rPr>
                <w:rFonts w:ascii="Times New Roman" w:hAnsi="Times New Roman" w:cs="Times New Roman"/>
              </w:rPr>
              <w:t>Transmission System for providing connectivity to RE Projects at Bhuj-II (2000 MW ) in Gujarat</w:t>
            </w:r>
          </w:p>
        </w:tc>
        <w:tc>
          <w:tcPr>
            <w:tcW w:w="487" w:type="pct"/>
            <w:vAlign w:val="center"/>
          </w:tcPr>
          <w:p w14:paraId="4A2A552D"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PGCIL</w:t>
            </w:r>
          </w:p>
        </w:tc>
        <w:tc>
          <w:tcPr>
            <w:tcW w:w="626" w:type="pct"/>
            <w:vAlign w:val="center"/>
          </w:tcPr>
          <w:p w14:paraId="55127224"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645.00</w:t>
            </w:r>
          </w:p>
        </w:tc>
        <w:tc>
          <w:tcPr>
            <w:tcW w:w="418" w:type="pct"/>
            <w:vAlign w:val="center"/>
          </w:tcPr>
          <w:p w14:paraId="3FB1C444"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123.80</w:t>
            </w:r>
          </w:p>
        </w:tc>
        <w:tc>
          <w:tcPr>
            <w:tcW w:w="487" w:type="pct"/>
            <w:vAlign w:val="center"/>
          </w:tcPr>
          <w:p w14:paraId="21C341D7"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207.70</w:t>
            </w:r>
          </w:p>
        </w:tc>
        <w:tc>
          <w:tcPr>
            <w:tcW w:w="558" w:type="pct"/>
            <w:vAlign w:val="center"/>
          </w:tcPr>
          <w:p w14:paraId="5AC1A67A"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83.90</w:t>
            </w:r>
          </w:p>
        </w:tc>
        <w:tc>
          <w:tcPr>
            <w:tcW w:w="474" w:type="pct"/>
            <w:vAlign w:val="center"/>
          </w:tcPr>
          <w:p w14:paraId="521C7A33"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40.39%</w:t>
            </w:r>
          </w:p>
        </w:tc>
      </w:tr>
      <w:tr w:rsidR="006B1708" w:rsidRPr="00FC346C" w14:paraId="30CA6C6C" w14:textId="77777777" w:rsidTr="006B1708">
        <w:tc>
          <w:tcPr>
            <w:tcW w:w="272" w:type="pct"/>
            <w:vAlign w:val="center"/>
          </w:tcPr>
          <w:p w14:paraId="01694F6B" w14:textId="77777777" w:rsidR="006B1708" w:rsidRPr="00FC346C" w:rsidRDefault="006B1708" w:rsidP="004720FA">
            <w:pPr>
              <w:spacing w:line="360" w:lineRule="auto"/>
              <w:jc w:val="center"/>
              <w:rPr>
                <w:rFonts w:ascii="Times New Roman" w:hAnsi="Times New Roman" w:cs="Times New Roman"/>
              </w:rPr>
            </w:pPr>
            <w:r w:rsidRPr="00FC346C">
              <w:rPr>
                <w:rFonts w:ascii="Times New Roman" w:hAnsi="Times New Roman" w:cs="Times New Roman"/>
              </w:rPr>
              <w:t>27</w:t>
            </w:r>
          </w:p>
        </w:tc>
        <w:tc>
          <w:tcPr>
            <w:tcW w:w="771" w:type="pct"/>
            <w:vAlign w:val="center"/>
          </w:tcPr>
          <w:p w14:paraId="40186F92" w14:textId="77777777" w:rsidR="006B1708" w:rsidRPr="00FC346C" w:rsidRDefault="006B1708" w:rsidP="004720FA">
            <w:pPr>
              <w:jc w:val="center"/>
              <w:rPr>
                <w:rFonts w:ascii="Times New Roman" w:hAnsi="Times New Roman" w:cs="Times New Roman"/>
                <w:color w:val="000000"/>
              </w:rPr>
            </w:pPr>
            <w:proofErr w:type="spellStart"/>
            <w:r w:rsidRPr="00FC346C">
              <w:rPr>
                <w:rFonts w:ascii="Times New Roman" w:hAnsi="Times New Roman" w:cs="Times New Roman"/>
                <w:color w:val="000000"/>
              </w:rPr>
              <w:t>Fatehgarh-Bhadla</w:t>
            </w:r>
            <w:proofErr w:type="spellEnd"/>
            <w:r w:rsidRPr="00FC346C">
              <w:rPr>
                <w:rFonts w:ascii="Times New Roman" w:hAnsi="Times New Roman" w:cs="Times New Roman"/>
                <w:color w:val="000000"/>
              </w:rPr>
              <w:t xml:space="preserve"> Transmission Limited</w:t>
            </w:r>
          </w:p>
        </w:tc>
        <w:tc>
          <w:tcPr>
            <w:tcW w:w="907" w:type="pct"/>
            <w:vAlign w:val="center"/>
          </w:tcPr>
          <w:p w14:paraId="047D1A9F" w14:textId="77777777" w:rsidR="006B1708" w:rsidRPr="00FC346C" w:rsidRDefault="006B1708" w:rsidP="004720FA">
            <w:pPr>
              <w:jc w:val="center"/>
              <w:rPr>
                <w:rFonts w:ascii="Times New Roman" w:hAnsi="Times New Roman" w:cs="Times New Roman"/>
              </w:rPr>
            </w:pPr>
            <w:r w:rsidRPr="00FC346C">
              <w:rPr>
                <w:rFonts w:ascii="Times New Roman" w:hAnsi="Times New Roman" w:cs="Times New Roman"/>
              </w:rPr>
              <w:t xml:space="preserve">Transmission System for Ultra Mega Solar Park in </w:t>
            </w:r>
            <w:proofErr w:type="spellStart"/>
            <w:r w:rsidRPr="00FC346C">
              <w:rPr>
                <w:rFonts w:ascii="Times New Roman" w:hAnsi="Times New Roman" w:cs="Times New Roman"/>
              </w:rPr>
              <w:t>Fatehgarh</w:t>
            </w:r>
            <w:proofErr w:type="spellEnd"/>
            <w:r w:rsidRPr="00FC346C">
              <w:rPr>
                <w:rFonts w:ascii="Times New Roman" w:hAnsi="Times New Roman" w:cs="Times New Roman"/>
              </w:rPr>
              <w:t>, Distt. Jaisalmer Rajasthan</w:t>
            </w:r>
          </w:p>
        </w:tc>
        <w:tc>
          <w:tcPr>
            <w:tcW w:w="487" w:type="pct"/>
            <w:vAlign w:val="center"/>
          </w:tcPr>
          <w:p w14:paraId="4E72F7E3"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Adani TL</w:t>
            </w:r>
          </w:p>
        </w:tc>
        <w:tc>
          <w:tcPr>
            <w:tcW w:w="626" w:type="pct"/>
            <w:vAlign w:val="center"/>
          </w:tcPr>
          <w:p w14:paraId="2B9CAD29"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624.00</w:t>
            </w:r>
          </w:p>
        </w:tc>
        <w:tc>
          <w:tcPr>
            <w:tcW w:w="418" w:type="pct"/>
            <w:vAlign w:val="center"/>
          </w:tcPr>
          <w:p w14:paraId="34ABD4BD"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38.00</w:t>
            </w:r>
          </w:p>
        </w:tc>
        <w:tc>
          <w:tcPr>
            <w:tcW w:w="487" w:type="pct"/>
            <w:vAlign w:val="center"/>
          </w:tcPr>
          <w:p w14:paraId="3F0D1E24"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83.90</w:t>
            </w:r>
          </w:p>
        </w:tc>
        <w:tc>
          <w:tcPr>
            <w:tcW w:w="558" w:type="pct"/>
            <w:vAlign w:val="center"/>
          </w:tcPr>
          <w:p w14:paraId="754A2FDB"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45.90</w:t>
            </w:r>
          </w:p>
        </w:tc>
        <w:tc>
          <w:tcPr>
            <w:tcW w:w="474" w:type="pct"/>
            <w:vAlign w:val="center"/>
          </w:tcPr>
          <w:p w14:paraId="3A1ACA29"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54.71%</w:t>
            </w:r>
          </w:p>
        </w:tc>
      </w:tr>
      <w:tr w:rsidR="006B1708" w:rsidRPr="00FC346C" w14:paraId="6D4EF9EE" w14:textId="77777777" w:rsidTr="006B1708">
        <w:tc>
          <w:tcPr>
            <w:tcW w:w="272" w:type="pct"/>
            <w:vAlign w:val="center"/>
          </w:tcPr>
          <w:p w14:paraId="60AE49CB" w14:textId="77777777" w:rsidR="006B1708" w:rsidRPr="00FC346C" w:rsidRDefault="006B1708" w:rsidP="004720FA">
            <w:pPr>
              <w:spacing w:line="360" w:lineRule="auto"/>
              <w:jc w:val="center"/>
              <w:rPr>
                <w:rFonts w:ascii="Times New Roman" w:hAnsi="Times New Roman" w:cs="Times New Roman"/>
              </w:rPr>
            </w:pPr>
            <w:r w:rsidRPr="00FC346C">
              <w:rPr>
                <w:rFonts w:ascii="Times New Roman" w:hAnsi="Times New Roman" w:cs="Times New Roman"/>
              </w:rPr>
              <w:t>28</w:t>
            </w:r>
          </w:p>
        </w:tc>
        <w:tc>
          <w:tcPr>
            <w:tcW w:w="771" w:type="pct"/>
            <w:vAlign w:val="center"/>
          </w:tcPr>
          <w:p w14:paraId="1951D36E"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 xml:space="preserve">Ajmer </w:t>
            </w:r>
            <w:proofErr w:type="spellStart"/>
            <w:r w:rsidRPr="00FC346C">
              <w:rPr>
                <w:rFonts w:ascii="Times New Roman" w:hAnsi="Times New Roman" w:cs="Times New Roman"/>
                <w:color w:val="000000"/>
              </w:rPr>
              <w:t>Phagi</w:t>
            </w:r>
            <w:proofErr w:type="spellEnd"/>
            <w:r w:rsidRPr="00FC346C">
              <w:rPr>
                <w:rFonts w:ascii="Times New Roman" w:hAnsi="Times New Roman" w:cs="Times New Roman"/>
                <w:color w:val="000000"/>
              </w:rPr>
              <w:t xml:space="preserve"> Transco Limited</w:t>
            </w:r>
          </w:p>
        </w:tc>
        <w:tc>
          <w:tcPr>
            <w:tcW w:w="907" w:type="pct"/>
            <w:vAlign w:val="center"/>
          </w:tcPr>
          <w:p w14:paraId="7328DEE7" w14:textId="77777777" w:rsidR="006B1708" w:rsidRPr="00FC346C" w:rsidRDefault="006B1708" w:rsidP="004720FA">
            <w:pPr>
              <w:jc w:val="center"/>
              <w:rPr>
                <w:rFonts w:ascii="Times New Roman" w:hAnsi="Times New Roman" w:cs="Times New Roman"/>
              </w:rPr>
            </w:pPr>
            <w:r w:rsidRPr="00FC346C">
              <w:rPr>
                <w:rFonts w:ascii="Times New Roman" w:hAnsi="Times New Roman" w:cs="Times New Roman"/>
              </w:rPr>
              <w:t>Transmission system associated with LTA  applications from Rajasthan SEZ Part-A</w:t>
            </w:r>
          </w:p>
        </w:tc>
        <w:tc>
          <w:tcPr>
            <w:tcW w:w="487" w:type="pct"/>
            <w:vAlign w:val="center"/>
          </w:tcPr>
          <w:p w14:paraId="01FC29C0"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PGCIL</w:t>
            </w:r>
          </w:p>
        </w:tc>
        <w:tc>
          <w:tcPr>
            <w:tcW w:w="626" w:type="pct"/>
            <w:vAlign w:val="center"/>
          </w:tcPr>
          <w:p w14:paraId="41DA5888"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583.00</w:t>
            </w:r>
          </w:p>
        </w:tc>
        <w:tc>
          <w:tcPr>
            <w:tcW w:w="418" w:type="pct"/>
            <w:vAlign w:val="center"/>
          </w:tcPr>
          <w:p w14:paraId="70833292"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61.30</w:t>
            </w:r>
          </w:p>
        </w:tc>
        <w:tc>
          <w:tcPr>
            <w:tcW w:w="487" w:type="pct"/>
            <w:vAlign w:val="center"/>
          </w:tcPr>
          <w:p w14:paraId="743801B9"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117.50</w:t>
            </w:r>
          </w:p>
        </w:tc>
        <w:tc>
          <w:tcPr>
            <w:tcW w:w="558" w:type="pct"/>
            <w:vAlign w:val="center"/>
          </w:tcPr>
          <w:p w14:paraId="23A70B9F"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56.20</w:t>
            </w:r>
          </w:p>
        </w:tc>
        <w:tc>
          <w:tcPr>
            <w:tcW w:w="474" w:type="pct"/>
            <w:vAlign w:val="center"/>
          </w:tcPr>
          <w:p w14:paraId="5A759E83"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47.83%</w:t>
            </w:r>
          </w:p>
        </w:tc>
      </w:tr>
      <w:tr w:rsidR="006B1708" w:rsidRPr="00FC346C" w14:paraId="383CC1C3" w14:textId="77777777" w:rsidTr="006B1708">
        <w:tc>
          <w:tcPr>
            <w:tcW w:w="272" w:type="pct"/>
            <w:vAlign w:val="center"/>
          </w:tcPr>
          <w:p w14:paraId="09D70059" w14:textId="77777777" w:rsidR="006B1708" w:rsidRPr="00FC346C" w:rsidRDefault="006B1708" w:rsidP="004720FA">
            <w:pPr>
              <w:spacing w:line="360" w:lineRule="auto"/>
              <w:jc w:val="center"/>
              <w:rPr>
                <w:rFonts w:ascii="Times New Roman" w:hAnsi="Times New Roman" w:cs="Times New Roman"/>
              </w:rPr>
            </w:pPr>
            <w:r w:rsidRPr="00FC346C">
              <w:rPr>
                <w:rFonts w:ascii="Times New Roman" w:hAnsi="Times New Roman" w:cs="Times New Roman"/>
              </w:rPr>
              <w:t>29</w:t>
            </w:r>
          </w:p>
        </w:tc>
        <w:tc>
          <w:tcPr>
            <w:tcW w:w="771" w:type="pct"/>
            <w:vAlign w:val="center"/>
          </w:tcPr>
          <w:p w14:paraId="18350491" w14:textId="77777777" w:rsidR="006B1708" w:rsidRPr="00FC346C" w:rsidRDefault="006B1708" w:rsidP="004720FA">
            <w:pPr>
              <w:jc w:val="center"/>
              <w:rPr>
                <w:rFonts w:ascii="Times New Roman" w:hAnsi="Times New Roman" w:cs="Times New Roman"/>
                <w:color w:val="000000"/>
              </w:rPr>
            </w:pPr>
            <w:proofErr w:type="spellStart"/>
            <w:r w:rsidRPr="00FC346C">
              <w:rPr>
                <w:rFonts w:ascii="Times New Roman" w:hAnsi="Times New Roman" w:cs="Times New Roman"/>
                <w:color w:val="000000"/>
              </w:rPr>
              <w:t>Nangalbibra-Bongaigaon</w:t>
            </w:r>
            <w:proofErr w:type="spellEnd"/>
            <w:r w:rsidRPr="00FC346C">
              <w:rPr>
                <w:rFonts w:ascii="Times New Roman" w:hAnsi="Times New Roman" w:cs="Times New Roman"/>
                <w:color w:val="000000"/>
              </w:rPr>
              <w:t xml:space="preserve"> Transmission Limited</w:t>
            </w:r>
          </w:p>
        </w:tc>
        <w:tc>
          <w:tcPr>
            <w:tcW w:w="907" w:type="pct"/>
            <w:vAlign w:val="center"/>
          </w:tcPr>
          <w:p w14:paraId="44FCE4ED" w14:textId="77777777" w:rsidR="006B1708" w:rsidRPr="00FC346C" w:rsidRDefault="006B1708" w:rsidP="004720FA">
            <w:pPr>
              <w:jc w:val="center"/>
              <w:rPr>
                <w:rFonts w:ascii="Times New Roman" w:hAnsi="Times New Roman" w:cs="Times New Roman"/>
              </w:rPr>
            </w:pPr>
            <w:r w:rsidRPr="00FC346C">
              <w:rPr>
                <w:rFonts w:ascii="Times New Roman" w:hAnsi="Times New Roman" w:cs="Times New Roman"/>
              </w:rPr>
              <w:t xml:space="preserve">Establishment of new 220/132kV substation at </w:t>
            </w:r>
            <w:proofErr w:type="spellStart"/>
            <w:r w:rsidRPr="00FC346C">
              <w:rPr>
                <w:rFonts w:ascii="Times New Roman" w:hAnsi="Times New Roman" w:cs="Times New Roman"/>
              </w:rPr>
              <w:t>Nangalbibra</w:t>
            </w:r>
            <w:proofErr w:type="spellEnd"/>
          </w:p>
        </w:tc>
        <w:tc>
          <w:tcPr>
            <w:tcW w:w="487" w:type="pct"/>
            <w:vAlign w:val="center"/>
          </w:tcPr>
          <w:p w14:paraId="34E71F0E"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Sterlite Power TL</w:t>
            </w:r>
          </w:p>
        </w:tc>
        <w:tc>
          <w:tcPr>
            <w:tcW w:w="626" w:type="pct"/>
            <w:vAlign w:val="center"/>
          </w:tcPr>
          <w:p w14:paraId="219F3674"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560.00</w:t>
            </w:r>
          </w:p>
        </w:tc>
        <w:tc>
          <w:tcPr>
            <w:tcW w:w="418" w:type="pct"/>
            <w:vAlign w:val="center"/>
          </w:tcPr>
          <w:p w14:paraId="73F8B5DD"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55.80</w:t>
            </w:r>
          </w:p>
        </w:tc>
        <w:tc>
          <w:tcPr>
            <w:tcW w:w="487" w:type="pct"/>
            <w:vAlign w:val="center"/>
          </w:tcPr>
          <w:p w14:paraId="2765C231"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85.00</w:t>
            </w:r>
          </w:p>
        </w:tc>
        <w:tc>
          <w:tcPr>
            <w:tcW w:w="558" w:type="pct"/>
            <w:vAlign w:val="center"/>
          </w:tcPr>
          <w:p w14:paraId="05D7A2A7"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29.20</w:t>
            </w:r>
          </w:p>
        </w:tc>
        <w:tc>
          <w:tcPr>
            <w:tcW w:w="474" w:type="pct"/>
            <w:vAlign w:val="center"/>
          </w:tcPr>
          <w:p w14:paraId="3C8793C5"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34.35%</w:t>
            </w:r>
          </w:p>
        </w:tc>
      </w:tr>
      <w:tr w:rsidR="006B1708" w:rsidRPr="00FC346C" w14:paraId="4535D51D" w14:textId="77777777" w:rsidTr="006B1708">
        <w:tc>
          <w:tcPr>
            <w:tcW w:w="272" w:type="pct"/>
            <w:vAlign w:val="center"/>
          </w:tcPr>
          <w:p w14:paraId="0DE21D7A" w14:textId="77777777" w:rsidR="006B1708" w:rsidRPr="00FC346C" w:rsidRDefault="006B1708" w:rsidP="004720FA">
            <w:pPr>
              <w:spacing w:line="360" w:lineRule="auto"/>
              <w:jc w:val="center"/>
              <w:rPr>
                <w:rFonts w:ascii="Times New Roman" w:hAnsi="Times New Roman" w:cs="Times New Roman"/>
              </w:rPr>
            </w:pPr>
            <w:r w:rsidRPr="00FC346C">
              <w:rPr>
                <w:rFonts w:ascii="Times New Roman" w:hAnsi="Times New Roman" w:cs="Times New Roman"/>
              </w:rPr>
              <w:t>30</w:t>
            </w:r>
          </w:p>
        </w:tc>
        <w:tc>
          <w:tcPr>
            <w:tcW w:w="771" w:type="pct"/>
            <w:vAlign w:val="center"/>
          </w:tcPr>
          <w:p w14:paraId="3691774F"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Maheshwaram Transmission Ltd.</w:t>
            </w:r>
          </w:p>
        </w:tc>
        <w:tc>
          <w:tcPr>
            <w:tcW w:w="907" w:type="pct"/>
            <w:vAlign w:val="center"/>
          </w:tcPr>
          <w:p w14:paraId="059AEF10" w14:textId="77777777" w:rsidR="006B1708" w:rsidRPr="00FC346C" w:rsidRDefault="006B1708" w:rsidP="004720FA">
            <w:pPr>
              <w:jc w:val="center"/>
              <w:rPr>
                <w:rFonts w:ascii="Times New Roman" w:hAnsi="Times New Roman" w:cs="Times New Roman"/>
              </w:rPr>
            </w:pPr>
            <w:r w:rsidRPr="00FC346C">
              <w:rPr>
                <w:rFonts w:ascii="Times New Roman" w:hAnsi="Times New Roman" w:cs="Times New Roman"/>
              </w:rPr>
              <w:t>Connectivity lines for Maheshwaram 765/400 kV Pooling Station</w:t>
            </w:r>
          </w:p>
        </w:tc>
        <w:tc>
          <w:tcPr>
            <w:tcW w:w="487" w:type="pct"/>
            <w:vAlign w:val="center"/>
          </w:tcPr>
          <w:p w14:paraId="23D1F8BA"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Sterlite Power TL</w:t>
            </w:r>
          </w:p>
        </w:tc>
        <w:tc>
          <w:tcPr>
            <w:tcW w:w="626" w:type="pct"/>
            <w:vAlign w:val="center"/>
          </w:tcPr>
          <w:p w14:paraId="493FCF16"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534.00</w:t>
            </w:r>
          </w:p>
        </w:tc>
        <w:tc>
          <w:tcPr>
            <w:tcW w:w="418" w:type="pct"/>
            <w:vAlign w:val="center"/>
          </w:tcPr>
          <w:p w14:paraId="2FF85ED4"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55.30</w:t>
            </w:r>
          </w:p>
        </w:tc>
        <w:tc>
          <w:tcPr>
            <w:tcW w:w="487" w:type="pct"/>
            <w:vAlign w:val="center"/>
          </w:tcPr>
          <w:p w14:paraId="665AAAB4"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82.80</w:t>
            </w:r>
          </w:p>
        </w:tc>
        <w:tc>
          <w:tcPr>
            <w:tcW w:w="558" w:type="pct"/>
            <w:vAlign w:val="center"/>
          </w:tcPr>
          <w:p w14:paraId="3F53A45E"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27.50</w:t>
            </w:r>
          </w:p>
        </w:tc>
        <w:tc>
          <w:tcPr>
            <w:tcW w:w="474" w:type="pct"/>
            <w:vAlign w:val="center"/>
          </w:tcPr>
          <w:p w14:paraId="06D56FFC"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33.21%</w:t>
            </w:r>
          </w:p>
        </w:tc>
      </w:tr>
      <w:tr w:rsidR="006B1708" w:rsidRPr="00FC346C" w14:paraId="42FADCD1" w14:textId="77777777" w:rsidTr="006B1708">
        <w:tc>
          <w:tcPr>
            <w:tcW w:w="272" w:type="pct"/>
            <w:vAlign w:val="center"/>
          </w:tcPr>
          <w:p w14:paraId="3D3D86B6" w14:textId="77777777" w:rsidR="006B1708" w:rsidRPr="00FC346C" w:rsidRDefault="006B1708" w:rsidP="004720FA">
            <w:pPr>
              <w:spacing w:line="360" w:lineRule="auto"/>
              <w:jc w:val="center"/>
              <w:rPr>
                <w:rFonts w:ascii="Times New Roman" w:hAnsi="Times New Roman" w:cs="Times New Roman"/>
              </w:rPr>
            </w:pPr>
            <w:r w:rsidRPr="00FC346C">
              <w:rPr>
                <w:rFonts w:ascii="Times New Roman" w:hAnsi="Times New Roman" w:cs="Times New Roman"/>
              </w:rPr>
              <w:t>31</w:t>
            </w:r>
          </w:p>
        </w:tc>
        <w:tc>
          <w:tcPr>
            <w:tcW w:w="771" w:type="pct"/>
            <w:vAlign w:val="center"/>
          </w:tcPr>
          <w:p w14:paraId="7C65D166"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 xml:space="preserve">North </w:t>
            </w:r>
            <w:proofErr w:type="spellStart"/>
            <w:r w:rsidRPr="00FC346C">
              <w:rPr>
                <w:rFonts w:ascii="Times New Roman" w:hAnsi="Times New Roman" w:cs="Times New Roman"/>
                <w:color w:val="000000"/>
              </w:rPr>
              <w:t>Karanpura</w:t>
            </w:r>
            <w:proofErr w:type="spellEnd"/>
            <w:r w:rsidRPr="00FC346C">
              <w:rPr>
                <w:rFonts w:ascii="Times New Roman" w:hAnsi="Times New Roman" w:cs="Times New Roman"/>
                <w:color w:val="000000"/>
              </w:rPr>
              <w:t xml:space="preserve"> Transco Ltd.</w:t>
            </w:r>
          </w:p>
        </w:tc>
        <w:tc>
          <w:tcPr>
            <w:tcW w:w="907" w:type="pct"/>
            <w:vAlign w:val="center"/>
          </w:tcPr>
          <w:p w14:paraId="691F3BB9" w14:textId="77777777" w:rsidR="006B1708" w:rsidRPr="00FC346C" w:rsidRDefault="006B1708" w:rsidP="004720FA">
            <w:pPr>
              <w:jc w:val="center"/>
              <w:rPr>
                <w:rFonts w:ascii="Times New Roman" w:hAnsi="Times New Roman" w:cs="Times New Roman"/>
              </w:rPr>
            </w:pPr>
            <w:r w:rsidRPr="00FC346C">
              <w:rPr>
                <w:rFonts w:ascii="Times New Roman" w:hAnsi="Times New Roman" w:cs="Times New Roman"/>
              </w:rPr>
              <w:t xml:space="preserve">Immediate evacuation for North </w:t>
            </w:r>
            <w:proofErr w:type="spellStart"/>
            <w:r w:rsidRPr="00FC346C">
              <w:rPr>
                <w:rFonts w:ascii="Times New Roman" w:hAnsi="Times New Roman" w:cs="Times New Roman"/>
              </w:rPr>
              <w:t>Karanpura</w:t>
            </w:r>
            <w:proofErr w:type="spellEnd"/>
            <w:r w:rsidRPr="00FC346C">
              <w:rPr>
                <w:rFonts w:ascii="Times New Roman" w:hAnsi="Times New Roman" w:cs="Times New Roman"/>
              </w:rPr>
              <w:t>(3x660MW) generation project of NTPC(ERSS-XIX)</w:t>
            </w:r>
          </w:p>
        </w:tc>
        <w:tc>
          <w:tcPr>
            <w:tcW w:w="487" w:type="pct"/>
            <w:vAlign w:val="center"/>
          </w:tcPr>
          <w:p w14:paraId="6E432A35"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Adani TL</w:t>
            </w:r>
          </w:p>
        </w:tc>
        <w:tc>
          <w:tcPr>
            <w:tcW w:w="626" w:type="pct"/>
            <w:vAlign w:val="center"/>
          </w:tcPr>
          <w:p w14:paraId="21B712B7"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472.00</w:t>
            </w:r>
          </w:p>
        </w:tc>
        <w:tc>
          <w:tcPr>
            <w:tcW w:w="418" w:type="pct"/>
            <w:vAlign w:val="center"/>
          </w:tcPr>
          <w:p w14:paraId="0755B9D8"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56.00</w:t>
            </w:r>
          </w:p>
        </w:tc>
        <w:tc>
          <w:tcPr>
            <w:tcW w:w="487" w:type="pct"/>
            <w:vAlign w:val="center"/>
          </w:tcPr>
          <w:p w14:paraId="7EC75241"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75.00</w:t>
            </w:r>
          </w:p>
        </w:tc>
        <w:tc>
          <w:tcPr>
            <w:tcW w:w="558" w:type="pct"/>
            <w:vAlign w:val="center"/>
          </w:tcPr>
          <w:p w14:paraId="3FAB900F"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19.00</w:t>
            </w:r>
          </w:p>
        </w:tc>
        <w:tc>
          <w:tcPr>
            <w:tcW w:w="474" w:type="pct"/>
            <w:vAlign w:val="center"/>
          </w:tcPr>
          <w:p w14:paraId="33C26073"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25.33%</w:t>
            </w:r>
          </w:p>
        </w:tc>
      </w:tr>
      <w:tr w:rsidR="006B1708" w:rsidRPr="00FC346C" w14:paraId="7CC4818A" w14:textId="77777777" w:rsidTr="006B1708">
        <w:tc>
          <w:tcPr>
            <w:tcW w:w="272" w:type="pct"/>
            <w:vAlign w:val="center"/>
          </w:tcPr>
          <w:p w14:paraId="2CF60AE1" w14:textId="77777777" w:rsidR="006B1708" w:rsidRPr="00FC346C" w:rsidRDefault="006B1708" w:rsidP="004720FA">
            <w:pPr>
              <w:spacing w:line="360" w:lineRule="auto"/>
              <w:jc w:val="center"/>
              <w:rPr>
                <w:rFonts w:ascii="Times New Roman" w:hAnsi="Times New Roman" w:cs="Times New Roman"/>
              </w:rPr>
            </w:pPr>
            <w:r w:rsidRPr="00FC346C">
              <w:rPr>
                <w:rFonts w:ascii="Times New Roman" w:hAnsi="Times New Roman" w:cs="Times New Roman"/>
              </w:rPr>
              <w:t>32</w:t>
            </w:r>
          </w:p>
        </w:tc>
        <w:tc>
          <w:tcPr>
            <w:tcW w:w="771" w:type="pct"/>
            <w:vAlign w:val="center"/>
          </w:tcPr>
          <w:p w14:paraId="760C221E" w14:textId="77777777" w:rsidR="006B1708" w:rsidRPr="00FC346C" w:rsidRDefault="006B1708" w:rsidP="004720FA">
            <w:pPr>
              <w:jc w:val="center"/>
              <w:rPr>
                <w:rFonts w:ascii="Times New Roman" w:hAnsi="Times New Roman" w:cs="Times New Roman"/>
                <w:color w:val="000000"/>
              </w:rPr>
            </w:pPr>
            <w:proofErr w:type="spellStart"/>
            <w:r w:rsidRPr="00FC346C">
              <w:rPr>
                <w:rFonts w:ascii="Times New Roman" w:hAnsi="Times New Roman" w:cs="Times New Roman"/>
                <w:color w:val="000000"/>
              </w:rPr>
              <w:t>Raiichur</w:t>
            </w:r>
            <w:proofErr w:type="spellEnd"/>
            <w:r w:rsidRPr="00FC346C">
              <w:rPr>
                <w:rFonts w:ascii="Times New Roman" w:hAnsi="Times New Roman" w:cs="Times New Roman"/>
                <w:color w:val="000000"/>
              </w:rPr>
              <w:t xml:space="preserve"> Sholapur Transmission Company Ltd.</w:t>
            </w:r>
          </w:p>
        </w:tc>
        <w:tc>
          <w:tcPr>
            <w:tcW w:w="907" w:type="pct"/>
            <w:vAlign w:val="center"/>
          </w:tcPr>
          <w:p w14:paraId="4A85C492" w14:textId="77777777" w:rsidR="006B1708" w:rsidRPr="00FC346C" w:rsidRDefault="006B1708" w:rsidP="004720FA">
            <w:pPr>
              <w:jc w:val="center"/>
              <w:rPr>
                <w:rFonts w:ascii="Times New Roman" w:hAnsi="Times New Roman" w:cs="Times New Roman"/>
              </w:rPr>
            </w:pPr>
            <w:r w:rsidRPr="00FC346C">
              <w:rPr>
                <w:rFonts w:ascii="Times New Roman" w:hAnsi="Times New Roman" w:cs="Times New Roman"/>
              </w:rPr>
              <w:t xml:space="preserve">Transmission System Associated with </w:t>
            </w:r>
            <w:proofErr w:type="spellStart"/>
            <w:r w:rsidRPr="00FC346C">
              <w:rPr>
                <w:rFonts w:ascii="Times New Roman" w:hAnsi="Times New Roman" w:cs="Times New Roman"/>
              </w:rPr>
              <w:t>Krishnapattnam</w:t>
            </w:r>
            <w:proofErr w:type="spellEnd"/>
            <w:r w:rsidRPr="00FC346C">
              <w:rPr>
                <w:rFonts w:ascii="Times New Roman" w:hAnsi="Times New Roman" w:cs="Times New Roman"/>
              </w:rPr>
              <w:t xml:space="preserve"> UMPP- Synchronous interconnection between SR and WR (Part-B)</w:t>
            </w:r>
          </w:p>
        </w:tc>
        <w:tc>
          <w:tcPr>
            <w:tcW w:w="487" w:type="pct"/>
            <w:vAlign w:val="center"/>
          </w:tcPr>
          <w:p w14:paraId="08D2EFA2"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RSTCL(Patel Engineering Limited/ Simplex</w:t>
            </w:r>
            <w:r w:rsidRPr="00FC346C">
              <w:rPr>
                <w:rFonts w:ascii="Times New Roman" w:hAnsi="Times New Roman" w:cs="Times New Roman"/>
                <w:color w:val="000000"/>
              </w:rPr>
              <w:br/>
              <w:t xml:space="preserve">Infrastructure Limited/ BS </w:t>
            </w:r>
            <w:proofErr w:type="spellStart"/>
            <w:r w:rsidRPr="00FC346C">
              <w:rPr>
                <w:rFonts w:ascii="Times New Roman" w:hAnsi="Times New Roman" w:cs="Times New Roman"/>
                <w:color w:val="000000"/>
              </w:rPr>
              <w:t>Transcomm</w:t>
            </w:r>
            <w:proofErr w:type="spellEnd"/>
            <w:r w:rsidRPr="00FC346C">
              <w:rPr>
                <w:rFonts w:ascii="Times New Roman" w:hAnsi="Times New Roman" w:cs="Times New Roman"/>
                <w:color w:val="000000"/>
              </w:rPr>
              <w:t xml:space="preserve"> Limited</w:t>
            </w:r>
          </w:p>
        </w:tc>
        <w:tc>
          <w:tcPr>
            <w:tcW w:w="626" w:type="pct"/>
            <w:vAlign w:val="center"/>
          </w:tcPr>
          <w:p w14:paraId="1F3FBE1F"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440.00</w:t>
            </w:r>
          </w:p>
        </w:tc>
        <w:tc>
          <w:tcPr>
            <w:tcW w:w="418" w:type="pct"/>
            <w:vAlign w:val="center"/>
          </w:tcPr>
          <w:p w14:paraId="6B6D5B70"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29.40</w:t>
            </w:r>
          </w:p>
        </w:tc>
        <w:tc>
          <w:tcPr>
            <w:tcW w:w="487" w:type="pct"/>
            <w:vAlign w:val="center"/>
          </w:tcPr>
          <w:p w14:paraId="5D59D005"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53.70</w:t>
            </w:r>
          </w:p>
        </w:tc>
        <w:tc>
          <w:tcPr>
            <w:tcW w:w="558" w:type="pct"/>
            <w:vAlign w:val="center"/>
          </w:tcPr>
          <w:p w14:paraId="598E453A"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24.30</w:t>
            </w:r>
          </w:p>
        </w:tc>
        <w:tc>
          <w:tcPr>
            <w:tcW w:w="474" w:type="pct"/>
            <w:vAlign w:val="center"/>
          </w:tcPr>
          <w:p w14:paraId="4202B41D"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45.25%</w:t>
            </w:r>
          </w:p>
        </w:tc>
      </w:tr>
      <w:tr w:rsidR="006B1708" w:rsidRPr="00FC346C" w14:paraId="7B3F7080" w14:textId="77777777" w:rsidTr="006B1708">
        <w:tc>
          <w:tcPr>
            <w:tcW w:w="272" w:type="pct"/>
            <w:vAlign w:val="center"/>
          </w:tcPr>
          <w:p w14:paraId="19AA9681" w14:textId="77777777" w:rsidR="006B1708" w:rsidRPr="00FC346C" w:rsidRDefault="006B1708" w:rsidP="004720FA">
            <w:pPr>
              <w:spacing w:line="360" w:lineRule="auto"/>
              <w:jc w:val="center"/>
              <w:rPr>
                <w:rFonts w:ascii="Times New Roman" w:hAnsi="Times New Roman" w:cs="Times New Roman"/>
              </w:rPr>
            </w:pPr>
            <w:r w:rsidRPr="00FC346C">
              <w:rPr>
                <w:rFonts w:ascii="Times New Roman" w:hAnsi="Times New Roman" w:cs="Times New Roman"/>
              </w:rPr>
              <w:t>33</w:t>
            </w:r>
          </w:p>
        </w:tc>
        <w:tc>
          <w:tcPr>
            <w:tcW w:w="771" w:type="pct"/>
            <w:vAlign w:val="center"/>
          </w:tcPr>
          <w:p w14:paraId="405C80A5"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 xml:space="preserve">NRSS XXXVI </w:t>
            </w:r>
            <w:proofErr w:type="spellStart"/>
            <w:r w:rsidRPr="00FC346C">
              <w:rPr>
                <w:rFonts w:ascii="Times New Roman" w:hAnsi="Times New Roman" w:cs="Times New Roman"/>
                <w:color w:val="000000"/>
              </w:rPr>
              <w:t>Trans.Ltd</w:t>
            </w:r>
            <w:proofErr w:type="spellEnd"/>
          </w:p>
        </w:tc>
        <w:tc>
          <w:tcPr>
            <w:tcW w:w="907" w:type="pct"/>
            <w:vAlign w:val="center"/>
          </w:tcPr>
          <w:p w14:paraId="37C0131B" w14:textId="77777777" w:rsidR="006B1708" w:rsidRPr="00FC346C" w:rsidRDefault="006B1708" w:rsidP="004720FA">
            <w:pPr>
              <w:jc w:val="center"/>
              <w:rPr>
                <w:rFonts w:ascii="Times New Roman" w:hAnsi="Times New Roman" w:cs="Times New Roman"/>
              </w:rPr>
            </w:pPr>
            <w:r w:rsidRPr="00FC346C">
              <w:rPr>
                <w:rFonts w:ascii="Times New Roman" w:hAnsi="Times New Roman" w:cs="Times New Roman"/>
              </w:rPr>
              <w:t>System strengthening in northern region (NRSS XXXVI) along with LILO of Sikar-Neemrana 400 kV D/C line at Babai (RVPNL)</w:t>
            </w:r>
          </w:p>
        </w:tc>
        <w:tc>
          <w:tcPr>
            <w:tcW w:w="487" w:type="pct"/>
            <w:vAlign w:val="center"/>
          </w:tcPr>
          <w:p w14:paraId="5EA9D27E"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Essel Infra</w:t>
            </w:r>
          </w:p>
        </w:tc>
        <w:tc>
          <w:tcPr>
            <w:tcW w:w="626" w:type="pct"/>
            <w:vAlign w:val="center"/>
          </w:tcPr>
          <w:p w14:paraId="33FD03E4"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437.00</w:t>
            </w:r>
          </w:p>
        </w:tc>
        <w:tc>
          <w:tcPr>
            <w:tcW w:w="418" w:type="pct"/>
            <w:vAlign w:val="center"/>
          </w:tcPr>
          <w:p w14:paraId="0C8B0CAF"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48.60</w:t>
            </w:r>
          </w:p>
        </w:tc>
        <w:tc>
          <w:tcPr>
            <w:tcW w:w="487" w:type="pct"/>
            <w:vAlign w:val="center"/>
          </w:tcPr>
          <w:p w14:paraId="4D725AA8"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60.49</w:t>
            </w:r>
          </w:p>
        </w:tc>
        <w:tc>
          <w:tcPr>
            <w:tcW w:w="558" w:type="pct"/>
            <w:vAlign w:val="center"/>
          </w:tcPr>
          <w:p w14:paraId="370CCB01"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11.89</w:t>
            </w:r>
          </w:p>
        </w:tc>
        <w:tc>
          <w:tcPr>
            <w:tcW w:w="474" w:type="pct"/>
            <w:vAlign w:val="center"/>
          </w:tcPr>
          <w:p w14:paraId="00D4B564"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19.66%</w:t>
            </w:r>
          </w:p>
        </w:tc>
      </w:tr>
      <w:tr w:rsidR="006B1708" w:rsidRPr="00FC346C" w14:paraId="6920F22B" w14:textId="77777777" w:rsidTr="006B1708">
        <w:tc>
          <w:tcPr>
            <w:tcW w:w="272" w:type="pct"/>
            <w:vAlign w:val="center"/>
          </w:tcPr>
          <w:p w14:paraId="4BCBE107" w14:textId="77777777" w:rsidR="006B1708" w:rsidRPr="00FC346C" w:rsidRDefault="006B1708" w:rsidP="004720FA">
            <w:pPr>
              <w:spacing w:line="360" w:lineRule="auto"/>
              <w:jc w:val="center"/>
              <w:rPr>
                <w:rFonts w:ascii="Times New Roman" w:hAnsi="Times New Roman" w:cs="Times New Roman"/>
              </w:rPr>
            </w:pPr>
            <w:r w:rsidRPr="00FC346C">
              <w:rPr>
                <w:rFonts w:ascii="Times New Roman" w:hAnsi="Times New Roman" w:cs="Times New Roman"/>
              </w:rPr>
              <w:t>34</w:t>
            </w:r>
          </w:p>
        </w:tc>
        <w:tc>
          <w:tcPr>
            <w:tcW w:w="771" w:type="pct"/>
            <w:vAlign w:val="center"/>
          </w:tcPr>
          <w:p w14:paraId="67849897"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 xml:space="preserve">Jam </w:t>
            </w:r>
            <w:proofErr w:type="spellStart"/>
            <w:r w:rsidRPr="00FC346C">
              <w:rPr>
                <w:rFonts w:ascii="Times New Roman" w:hAnsi="Times New Roman" w:cs="Times New Roman"/>
                <w:color w:val="000000"/>
              </w:rPr>
              <w:t>Khambaliya</w:t>
            </w:r>
            <w:proofErr w:type="spellEnd"/>
            <w:r w:rsidRPr="00FC346C">
              <w:rPr>
                <w:rFonts w:ascii="Times New Roman" w:hAnsi="Times New Roman" w:cs="Times New Roman"/>
                <w:color w:val="000000"/>
              </w:rPr>
              <w:t xml:space="preserve"> Transco Limited</w:t>
            </w:r>
          </w:p>
        </w:tc>
        <w:tc>
          <w:tcPr>
            <w:tcW w:w="907" w:type="pct"/>
            <w:vAlign w:val="center"/>
          </w:tcPr>
          <w:p w14:paraId="64DECAE5" w14:textId="77777777" w:rsidR="006B1708" w:rsidRPr="00FC346C" w:rsidRDefault="006B1708" w:rsidP="004720FA">
            <w:pPr>
              <w:jc w:val="center"/>
              <w:rPr>
                <w:rFonts w:ascii="Times New Roman" w:hAnsi="Times New Roman" w:cs="Times New Roman"/>
              </w:rPr>
            </w:pPr>
            <w:r w:rsidRPr="00FC346C">
              <w:rPr>
                <w:rFonts w:ascii="Times New Roman" w:hAnsi="Times New Roman" w:cs="Times New Roman"/>
              </w:rPr>
              <w:t xml:space="preserve">Transmission System for Jam </w:t>
            </w:r>
            <w:proofErr w:type="spellStart"/>
            <w:r w:rsidRPr="00FC346C">
              <w:rPr>
                <w:rFonts w:ascii="Times New Roman" w:hAnsi="Times New Roman" w:cs="Times New Roman"/>
              </w:rPr>
              <w:t>Khambaliya</w:t>
            </w:r>
            <w:proofErr w:type="spellEnd"/>
            <w:r w:rsidRPr="00FC346C">
              <w:rPr>
                <w:rFonts w:ascii="Times New Roman" w:hAnsi="Times New Roman" w:cs="Times New Roman"/>
              </w:rPr>
              <w:t xml:space="preserve"> Pooling Station and Interconnection of Jam </w:t>
            </w:r>
            <w:proofErr w:type="spellStart"/>
            <w:r w:rsidRPr="00FC346C">
              <w:rPr>
                <w:rFonts w:ascii="Times New Roman" w:hAnsi="Times New Roman" w:cs="Times New Roman"/>
              </w:rPr>
              <w:t>Khambaliya</w:t>
            </w:r>
            <w:proofErr w:type="spellEnd"/>
            <w:r w:rsidRPr="00FC346C">
              <w:rPr>
                <w:rFonts w:ascii="Times New Roman" w:hAnsi="Times New Roman" w:cs="Times New Roman"/>
              </w:rPr>
              <w:t xml:space="preserve"> Pooling Station for Providing Connectivity to RE Projects (1500 MW) in Dwarka (Gujarat) and Installation of 400/220 kV ICT along with Associated Bays at CGPL Switchyard</w:t>
            </w:r>
          </w:p>
        </w:tc>
        <w:tc>
          <w:tcPr>
            <w:tcW w:w="487" w:type="pct"/>
            <w:vAlign w:val="center"/>
          </w:tcPr>
          <w:p w14:paraId="521A9E90"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Adani TL</w:t>
            </w:r>
          </w:p>
        </w:tc>
        <w:tc>
          <w:tcPr>
            <w:tcW w:w="626" w:type="pct"/>
            <w:vAlign w:val="center"/>
          </w:tcPr>
          <w:p w14:paraId="6241DF50"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394.00</w:t>
            </w:r>
          </w:p>
        </w:tc>
        <w:tc>
          <w:tcPr>
            <w:tcW w:w="418" w:type="pct"/>
            <w:vAlign w:val="center"/>
          </w:tcPr>
          <w:p w14:paraId="1420FA93"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33.70</w:t>
            </w:r>
          </w:p>
        </w:tc>
        <w:tc>
          <w:tcPr>
            <w:tcW w:w="487" w:type="pct"/>
            <w:vAlign w:val="center"/>
          </w:tcPr>
          <w:p w14:paraId="50398C34"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66.50</w:t>
            </w:r>
          </w:p>
        </w:tc>
        <w:tc>
          <w:tcPr>
            <w:tcW w:w="558" w:type="pct"/>
            <w:vAlign w:val="center"/>
          </w:tcPr>
          <w:p w14:paraId="4AC48693"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32.80</w:t>
            </w:r>
          </w:p>
        </w:tc>
        <w:tc>
          <w:tcPr>
            <w:tcW w:w="474" w:type="pct"/>
            <w:vAlign w:val="center"/>
          </w:tcPr>
          <w:p w14:paraId="706B8D84"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49.32%</w:t>
            </w:r>
          </w:p>
        </w:tc>
      </w:tr>
      <w:tr w:rsidR="006B1708" w:rsidRPr="00FC346C" w14:paraId="1AC3FF7E" w14:textId="77777777" w:rsidTr="006B1708">
        <w:tc>
          <w:tcPr>
            <w:tcW w:w="272" w:type="pct"/>
            <w:vAlign w:val="center"/>
          </w:tcPr>
          <w:p w14:paraId="2FF74725" w14:textId="77777777" w:rsidR="006B1708" w:rsidRPr="00FC346C" w:rsidRDefault="006B1708" w:rsidP="004720FA">
            <w:pPr>
              <w:spacing w:line="360" w:lineRule="auto"/>
              <w:jc w:val="center"/>
              <w:rPr>
                <w:rFonts w:ascii="Times New Roman" w:hAnsi="Times New Roman" w:cs="Times New Roman"/>
              </w:rPr>
            </w:pPr>
            <w:r w:rsidRPr="00FC346C">
              <w:rPr>
                <w:rFonts w:ascii="Times New Roman" w:hAnsi="Times New Roman" w:cs="Times New Roman"/>
              </w:rPr>
              <w:t>35</w:t>
            </w:r>
          </w:p>
        </w:tc>
        <w:tc>
          <w:tcPr>
            <w:tcW w:w="771" w:type="pct"/>
            <w:vAlign w:val="center"/>
          </w:tcPr>
          <w:p w14:paraId="3C712305"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NRSS XXXI (B) Transmission Limited.</w:t>
            </w:r>
          </w:p>
        </w:tc>
        <w:tc>
          <w:tcPr>
            <w:tcW w:w="907" w:type="pct"/>
            <w:vAlign w:val="center"/>
          </w:tcPr>
          <w:p w14:paraId="5B5942B8" w14:textId="77777777" w:rsidR="006B1708" w:rsidRPr="00FC346C" w:rsidRDefault="006B1708" w:rsidP="004720FA">
            <w:pPr>
              <w:jc w:val="center"/>
              <w:rPr>
                <w:rFonts w:ascii="Times New Roman" w:hAnsi="Times New Roman" w:cs="Times New Roman"/>
              </w:rPr>
            </w:pPr>
            <w:r w:rsidRPr="00FC346C">
              <w:rPr>
                <w:rFonts w:ascii="Times New Roman" w:hAnsi="Times New Roman" w:cs="Times New Roman"/>
              </w:rPr>
              <w:t>Northern Region System Strengthening Scheme(NRSS) - XXXI (Part-B)</w:t>
            </w:r>
          </w:p>
        </w:tc>
        <w:tc>
          <w:tcPr>
            <w:tcW w:w="487" w:type="pct"/>
            <w:vAlign w:val="center"/>
          </w:tcPr>
          <w:p w14:paraId="0A6166C3"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Essel Infra</w:t>
            </w:r>
          </w:p>
        </w:tc>
        <w:tc>
          <w:tcPr>
            <w:tcW w:w="626" w:type="pct"/>
            <w:vAlign w:val="center"/>
          </w:tcPr>
          <w:p w14:paraId="55AFF91E"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370.00</w:t>
            </w:r>
          </w:p>
        </w:tc>
        <w:tc>
          <w:tcPr>
            <w:tcW w:w="418" w:type="pct"/>
            <w:vAlign w:val="center"/>
          </w:tcPr>
          <w:p w14:paraId="5AF4C92A"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88.70</w:t>
            </w:r>
          </w:p>
        </w:tc>
        <w:tc>
          <w:tcPr>
            <w:tcW w:w="487" w:type="pct"/>
            <w:vAlign w:val="center"/>
          </w:tcPr>
          <w:p w14:paraId="7BD64538"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92.30</w:t>
            </w:r>
          </w:p>
        </w:tc>
        <w:tc>
          <w:tcPr>
            <w:tcW w:w="558" w:type="pct"/>
            <w:vAlign w:val="center"/>
          </w:tcPr>
          <w:p w14:paraId="662A63F0"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3.60</w:t>
            </w:r>
          </w:p>
        </w:tc>
        <w:tc>
          <w:tcPr>
            <w:tcW w:w="474" w:type="pct"/>
            <w:vAlign w:val="center"/>
          </w:tcPr>
          <w:p w14:paraId="0348CBED"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3.90%</w:t>
            </w:r>
          </w:p>
        </w:tc>
      </w:tr>
      <w:tr w:rsidR="006B1708" w:rsidRPr="00FC346C" w14:paraId="501F9326" w14:textId="77777777" w:rsidTr="006B1708">
        <w:tc>
          <w:tcPr>
            <w:tcW w:w="272" w:type="pct"/>
            <w:vAlign w:val="center"/>
          </w:tcPr>
          <w:p w14:paraId="6C2D47AF" w14:textId="77777777" w:rsidR="006B1708" w:rsidRPr="00FC346C" w:rsidRDefault="006B1708" w:rsidP="004720FA">
            <w:pPr>
              <w:spacing w:line="360" w:lineRule="auto"/>
              <w:jc w:val="center"/>
              <w:rPr>
                <w:rFonts w:ascii="Times New Roman" w:hAnsi="Times New Roman" w:cs="Times New Roman"/>
              </w:rPr>
            </w:pPr>
            <w:r w:rsidRPr="00FC346C">
              <w:rPr>
                <w:rFonts w:ascii="Times New Roman" w:hAnsi="Times New Roman" w:cs="Times New Roman"/>
              </w:rPr>
              <w:t>36</w:t>
            </w:r>
          </w:p>
        </w:tc>
        <w:tc>
          <w:tcPr>
            <w:tcW w:w="771" w:type="pct"/>
            <w:vAlign w:val="center"/>
          </w:tcPr>
          <w:p w14:paraId="2023FD49" w14:textId="77777777" w:rsidR="006B1708" w:rsidRPr="00FC346C" w:rsidRDefault="006B1708" w:rsidP="004720FA">
            <w:pPr>
              <w:jc w:val="center"/>
              <w:rPr>
                <w:rFonts w:ascii="Times New Roman" w:hAnsi="Times New Roman" w:cs="Times New Roman"/>
                <w:color w:val="000000"/>
              </w:rPr>
            </w:pPr>
            <w:proofErr w:type="spellStart"/>
            <w:r w:rsidRPr="00FC346C">
              <w:rPr>
                <w:rFonts w:ascii="Times New Roman" w:hAnsi="Times New Roman" w:cs="Times New Roman"/>
                <w:color w:val="000000"/>
              </w:rPr>
              <w:t>Powergrid</w:t>
            </w:r>
            <w:proofErr w:type="spellEnd"/>
            <w:r w:rsidRPr="00FC346C">
              <w:rPr>
                <w:rFonts w:ascii="Times New Roman" w:hAnsi="Times New Roman" w:cs="Times New Roman"/>
                <w:color w:val="000000"/>
              </w:rPr>
              <w:t xml:space="preserve"> Ramgarh Transmission Limited</w:t>
            </w:r>
          </w:p>
        </w:tc>
        <w:tc>
          <w:tcPr>
            <w:tcW w:w="907" w:type="pct"/>
            <w:vAlign w:val="center"/>
          </w:tcPr>
          <w:p w14:paraId="1FB8A4FA" w14:textId="77777777" w:rsidR="006B1708" w:rsidRPr="00FC346C" w:rsidRDefault="006B1708" w:rsidP="004720FA">
            <w:pPr>
              <w:jc w:val="center"/>
              <w:rPr>
                <w:rFonts w:ascii="Times New Roman" w:hAnsi="Times New Roman" w:cs="Times New Roman"/>
              </w:rPr>
            </w:pPr>
            <w:r w:rsidRPr="00FC346C">
              <w:rPr>
                <w:rFonts w:ascii="Times New Roman" w:hAnsi="Times New Roman" w:cs="Times New Roman"/>
              </w:rPr>
              <w:t>Transmission system associated with LTA applications from Rajasthan SEZ Part-A, Phase-II</w:t>
            </w:r>
          </w:p>
        </w:tc>
        <w:tc>
          <w:tcPr>
            <w:tcW w:w="487" w:type="pct"/>
            <w:vAlign w:val="center"/>
          </w:tcPr>
          <w:p w14:paraId="099DBAEE"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PGCIL</w:t>
            </w:r>
          </w:p>
        </w:tc>
        <w:tc>
          <w:tcPr>
            <w:tcW w:w="626" w:type="pct"/>
            <w:vAlign w:val="center"/>
          </w:tcPr>
          <w:p w14:paraId="0318E11B"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353.85</w:t>
            </w:r>
          </w:p>
        </w:tc>
        <w:tc>
          <w:tcPr>
            <w:tcW w:w="418" w:type="pct"/>
            <w:vAlign w:val="center"/>
          </w:tcPr>
          <w:p w14:paraId="6C807577"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39.10</w:t>
            </w:r>
          </w:p>
        </w:tc>
        <w:tc>
          <w:tcPr>
            <w:tcW w:w="487" w:type="pct"/>
            <w:vAlign w:val="center"/>
          </w:tcPr>
          <w:p w14:paraId="172739F7"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77.00</w:t>
            </w:r>
          </w:p>
        </w:tc>
        <w:tc>
          <w:tcPr>
            <w:tcW w:w="558" w:type="pct"/>
            <w:vAlign w:val="center"/>
          </w:tcPr>
          <w:p w14:paraId="56E77A24"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37.90</w:t>
            </w:r>
          </w:p>
        </w:tc>
        <w:tc>
          <w:tcPr>
            <w:tcW w:w="474" w:type="pct"/>
            <w:vAlign w:val="center"/>
          </w:tcPr>
          <w:p w14:paraId="0945A6E0"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49.22%</w:t>
            </w:r>
          </w:p>
        </w:tc>
      </w:tr>
      <w:tr w:rsidR="006B1708" w:rsidRPr="00FC346C" w14:paraId="5638D846" w14:textId="77777777" w:rsidTr="006B1708">
        <w:tc>
          <w:tcPr>
            <w:tcW w:w="272" w:type="pct"/>
            <w:vAlign w:val="center"/>
          </w:tcPr>
          <w:p w14:paraId="665D0659" w14:textId="77777777" w:rsidR="006B1708" w:rsidRPr="00FC346C" w:rsidRDefault="006B1708" w:rsidP="004720FA">
            <w:pPr>
              <w:spacing w:line="360" w:lineRule="auto"/>
              <w:jc w:val="center"/>
              <w:rPr>
                <w:rFonts w:ascii="Times New Roman" w:hAnsi="Times New Roman" w:cs="Times New Roman"/>
              </w:rPr>
            </w:pPr>
            <w:r w:rsidRPr="00FC346C">
              <w:rPr>
                <w:rFonts w:ascii="Times New Roman" w:hAnsi="Times New Roman" w:cs="Times New Roman"/>
              </w:rPr>
              <w:t>37</w:t>
            </w:r>
          </w:p>
        </w:tc>
        <w:tc>
          <w:tcPr>
            <w:tcW w:w="771" w:type="pct"/>
            <w:vAlign w:val="center"/>
          </w:tcPr>
          <w:p w14:paraId="19C9739A" w14:textId="77777777" w:rsidR="006B1708" w:rsidRPr="00FC346C" w:rsidRDefault="006B1708" w:rsidP="004720FA">
            <w:pPr>
              <w:jc w:val="center"/>
              <w:rPr>
                <w:rFonts w:ascii="Times New Roman" w:hAnsi="Times New Roman" w:cs="Times New Roman"/>
                <w:color w:val="000000"/>
              </w:rPr>
            </w:pPr>
            <w:proofErr w:type="spellStart"/>
            <w:r w:rsidRPr="00FC346C">
              <w:rPr>
                <w:rFonts w:ascii="Times New Roman" w:hAnsi="Times New Roman" w:cs="Times New Roman"/>
                <w:color w:val="000000"/>
              </w:rPr>
              <w:t>Gadag</w:t>
            </w:r>
            <w:proofErr w:type="spellEnd"/>
            <w:r w:rsidRPr="00FC346C">
              <w:rPr>
                <w:rFonts w:ascii="Times New Roman" w:hAnsi="Times New Roman" w:cs="Times New Roman"/>
                <w:color w:val="000000"/>
              </w:rPr>
              <w:t xml:space="preserve"> Transmission Limited</w:t>
            </w:r>
          </w:p>
        </w:tc>
        <w:tc>
          <w:tcPr>
            <w:tcW w:w="907" w:type="pct"/>
            <w:vAlign w:val="center"/>
          </w:tcPr>
          <w:p w14:paraId="6064AAAB" w14:textId="77777777" w:rsidR="006B1708" w:rsidRPr="00FC346C" w:rsidRDefault="006B1708" w:rsidP="004720FA">
            <w:pPr>
              <w:jc w:val="center"/>
              <w:rPr>
                <w:rFonts w:ascii="Times New Roman" w:hAnsi="Times New Roman" w:cs="Times New Roman"/>
              </w:rPr>
            </w:pPr>
            <w:r w:rsidRPr="00FC346C">
              <w:rPr>
                <w:rFonts w:ascii="Times New Roman" w:hAnsi="Times New Roman" w:cs="Times New Roman"/>
              </w:rPr>
              <w:t xml:space="preserve">Transmission Scheme for Solar Energy Zone in </w:t>
            </w:r>
            <w:proofErr w:type="spellStart"/>
            <w:r w:rsidRPr="00FC346C">
              <w:rPr>
                <w:rFonts w:ascii="Times New Roman" w:hAnsi="Times New Roman" w:cs="Times New Roman"/>
              </w:rPr>
              <w:t>Gadag</w:t>
            </w:r>
            <w:proofErr w:type="spellEnd"/>
            <w:r w:rsidRPr="00FC346C">
              <w:rPr>
                <w:rFonts w:ascii="Times New Roman" w:hAnsi="Times New Roman" w:cs="Times New Roman"/>
              </w:rPr>
              <w:t xml:space="preserve"> (1000 MW), Karnataka – Part-A, Phase-I</w:t>
            </w:r>
          </w:p>
        </w:tc>
        <w:tc>
          <w:tcPr>
            <w:tcW w:w="487" w:type="pct"/>
            <w:vAlign w:val="center"/>
          </w:tcPr>
          <w:p w14:paraId="10F44627"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ReNew Transmission Ventures Private Limited</w:t>
            </w:r>
          </w:p>
        </w:tc>
        <w:tc>
          <w:tcPr>
            <w:tcW w:w="626" w:type="pct"/>
            <w:vAlign w:val="center"/>
          </w:tcPr>
          <w:p w14:paraId="06340C74"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350.00</w:t>
            </w:r>
          </w:p>
        </w:tc>
        <w:tc>
          <w:tcPr>
            <w:tcW w:w="418" w:type="pct"/>
            <w:vAlign w:val="center"/>
          </w:tcPr>
          <w:p w14:paraId="15CE8028"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29.70</w:t>
            </w:r>
          </w:p>
        </w:tc>
        <w:tc>
          <w:tcPr>
            <w:tcW w:w="487" w:type="pct"/>
            <w:vAlign w:val="center"/>
          </w:tcPr>
          <w:p w14:paraId="2E1732FC"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58.35</w:t>
            </w:r>
          </w:p>
        </w:tc>
        <w:tc>
          <w:tcPr>
            <w:tcW w:w="558" w:type="pct"/>
            <w:vAlign w:val="center"/>
          </w:tcPr>
          <w:p w14:paraId="4B0BA6B8"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28.65</w:t>
            </w:r>
          </w:p>
        </w:tc>
        <w:tc>
          <w:tcPr>
            <w:tcW w:w="474" w:type="pct"/>
            <w:vAlign w:val="center"/>
          </w:tcPr>
          <w:p w14:paraId="1907AB07"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49.10%</w:t>
            </w:r>
          </w:p>
        </w:tc>
      </w:tr>
      <w:tr w:rsidR="006B1708" w:rsidRPr="00FC346C" w14:paraId="6B933855" w14:textId="77777777" w:rsidTr="006B1708">
        <w:tc>
          <w:tcPr>
            <w:tcW w:w="272" w:type="pct"/>
            <w:vAlign w:val="center"/>
          </w:tcPr>
          <w:p w14:paraId="5DCDE020" w14:textId="77777777" w:rsidR="006B1708" w:rsidRPr="00FC346C" w:rsidRDefault="006B1708" w:rsidP="004720FA">
            <w:pPr>
              <w:spacing w:line="360" w:lineRule="auto"/>
              <w:jc w:val="center"/>
              <w:rPr>
                <w:rFonts w:ascii="Times New Roman" w:hAnsi="Times New Roman" w:cs="Times New Roman"/>
              </w:rPr>
            </w:pPr>
            <w:r w:rsidRPr="00FC346C">
              <w:rPr>
                <w:rFonts w:ascii="Times New Roman" w:hAnsi="Times New Roman" w:cs="Times New Roman"/>
              </w:rPr>
              <w:t>38</w:t>
            </w:r>
          </w:p>
        </w:tc>
        <w:tc>
          <w:tcPr>
            <w:tcW w:w="771" w:type="pct"/>
            <w:vAlign w:val="center"/>
          </w:tcPr>
          <w:p w14:paraId="3E1C1EA4"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Kallam Transmission Limited</w:t>
            </w:r>
          </w:p>
        </w:tc>
        <w:tc>
          <w:tcPr>
            <w:tcW w:w="907" w:type="pct"/>
            <w:vAlign w:val="center"/>
          </w:tcPr>
          <w:p w14:paraId="57D04C73" w14:textId="77777777" w:rsidR="006B1708" w:rsidRPr="00FC346C" w:rsidRDefault="006B1708" w:rsidP="004720FA">
            <w:pPr>
              <w:jc w:val="center"/>
              <w:rPr>
                <w:rFonts w:ascii="Times New Roman" w:hAnsi="Times New Roman" w:cs="Times New Roman"/>
              </w:rPr>
            </w:pPr>
            <w:r w:rsidRPr="00FC346C">
              <w:rPr>
                <w:rFonts w:ascii="Times New Roman" w:hAnsi="Times New Roman" w:cs="Times New Roman"/>
              </w:rPr>
              <w:t>Transmission System for evacuation of power from RE Projects in Osmanabad area (1 GW) in Maharashtra</w:t>
            </w:r>
          </w:p>
        </w:tc>
        <w:tc>
          <w:tcPr>
            <w:tcW w:w="487" w:type="pct"/>
            <w:vAlign w:val="center"/>
          </w:tcPr>
          <w:p w14:paraId="6D11AD91" w14:textId="77777777" w:rsidR="006B1708" w:rsidRPr="00FC346C" w:rsidRDefault="006B1708" w:rsidP="004720FA">
            <w:pPr>
              <w:jc w:val="center"/>
              <w:rPr>
                <w:rFonts w:ascii="Times New Roman" w:hAnsi="Times New Roman" w:cs="Times New Roman"/>
                <w:color w:val="000000"/>
              </w:rPr>
            </w:pPr>
            <w:proofErr w:type="spellStart"/>
            <w:r w:rsidRPr="00FC346C">
              <w:rPr>
                <w:rFonts w:ascii="Times New Roman" w:hAnsi="Times New Roman" w:cs="Times New Roman"/>
                <w:color w:val="000000"/>
              </w:rPr>
              <w:t>IndiGrid</w:t>
            </w:r>
            <w:proofErr w:type="spellEnd"/>
            <w:r w:rsidRPr="00FC346C">
              <w:rPr>
                <w:rFonts w:ascii="Times New Roman" w:hAnsi="Times New Roman" w:cs="Times New Roman"/>
                <w:color w:val="000000"/>
              </w:rPr>
              <w:t xml:space="preserve"> Limited</w:t>
            </w:r>
          </w:p>
        </w:tc>
        <w:tc>
          <w:tcPr>
            <w:tcW w:w="626" w:type="pct"/>
            <w:vAlign w:val="center"/>
          </w:tcPr>
          <w:p w14:paraId="5A3C930D"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245.00</w:t>
            </w:r>
          </w:p>
        </w:tc>
        <w:tc>
          <w:tcPr>
            <w:tcW w:w="418" w:type="pct"/>
            <w:vAlign w:val="center"/>
          </w:tcPr>
          <w:p w14:paraId="60E251D5"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16.70</w:t>
            </w:r>
          </w:p>
        </w:tc>
        <w:tc>
          <w:tcPr>
            <w:tcW w:w="487" w:type="pct"/>
            <w:vAlign w:val="center"/>
          </w:tcPr>
          <w:p w14:paraId="656A38BC"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37.40</w:t>
            </w:r>
          </w:p>
        </w:tc>
        <w:tc>
          <w:tcPr>
            <w:tcW w:w="558" w:type="pct"/>
            <w:vAlign w:val="center"/>
          </w:tcPr>
          <w:p w14:paraId="370F74C4"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20.70</w:t>
            </w:r>
          </w:p>
        </w:tc>
        <w:tc>
          <w:tcPr>
            <w:tcW w:w="474" w:type="pct"/>
            <w:vAlign w:val="center"/>
          </w:tcPr>
          <w:p w14:paraId="66FF4F54"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55.35%</w:t>
            </w:r>
          </w:p>
        </w:tc>
      </w:tr>
      <w:tr w:rsidR="006B1708" w:rsidRPr="00FC346C" w14:paraId="427A3159" w14:textId="77777777" w:rsidTr="006B1708">
        <w:tc>
          <w:tcPr>
            <w:tcW w:w="272" w:type="pct"/>
            <w:vAlign w:val="center"/>
          </w:tcPr>
          <w:p w14:paraId="09E50786" w14:textId="77777777" w:rsidR="006B1708" w:rsidRPr="00FC346C" w:rsidRDefault="006B1708" w:rsidP="004720FA">
            <w:pPr>
              <w:spacing w:line="360" w:lineRule="auto"/>
              <w:jc w:val="center"/>
              <w:rPr>
                <w:rFonts w:ascii="Times New Roman" w:hAnsi="Times New Roman" w:cs="Times New Roman"/>
              </w:rPr>
            </w:pPr>
            <w:r w:rsidRPr="00FC346C">
              <w:rPr>
                <w:rFonts w:ascii="Times New Roman" w:hAnsi="Times New Roman" w:cs="Times New Roman"/>
              </w:rPr>
              <w:t>39</w:t>
            </w:r>
          </w:p>
        </w:tc>
        <w:tc>
          <w:tcPr>
            <w:tcW w:w="771" w:type="pct"/>
            <w:vAlign w:val="center"/>
          </w:tcPr>
          <w:p w14:paraId="325E4FDC" w14:textId="77777777" w:rsidR="006B1708" w:rsidRPr="00FC346C" w:rsidRDefault="006B1708" w:rsidP="004720FA">
            <w:pPr>
              <w:jc w:val="center"/>
              <w:rPr>
                <w:rFonts w:ascii="Times New Roman" w:hAnsi="Times New Roman" w:cs="Times New Roman"/>
                <w:color w:val="000000"/>
              </w:rPr>
            </w:pPr>
            <w:proofErr w:type="spellStart"/>
            <w:r w:rsidRPr="00FC346C">
              <w:rPr>
                <w:rFonts w:ascii="Times New Roman" w:hAnsi="Times New Roman" w:cs="Times New Roman"/>
                <w:color w:val="000000"/>
              </w:rPr>
              <w:t>Powergrid</w:t>
            </w:r>
            <w:proofErr w:type="spellEnd"/>
            <w:r w:rsidRPr="00FC346C">
              <w:rPr>
                <w:rFonts w:ascii="Times New Roman" w:hAnsi="Times New Roman" w:cs="Times New Roman"/>
                <w:color w:val="000000"/>
              </w:rPr>
              <w:t xml:space="preserve"> Kala </w:t>
            </w:r>
            <w:proofErr w:type="spellStart"/>
            <w:r w:rsidRPr="00FC346C">
              <w:rPr>
                <w:rFonts w:ascii="Times New Roman" w:hAnsi="Times New Roman" w:cs="Times New Roman"/>
                <w:color w:val="000000"/>
              </w:rPr>
              <w:t>Amb</w:t>
            </w:r>
            <w:proofErr w:type="spellEnd"/>
            <w:r w:rsidRPr="00FC346C">
              <w:rPr>
                <w:rFonts w:ascii="Times New Roman" w:hAnsi="Times New Roman" w:cs="Times New Roman"/>
                <w:color w:val="000000"/>
              </w:rPr>
              <w:t xml:space="preserve"> Transmission</w:t>
            </w:r>
          </w:p>
        </w:tc>
        <w:tc>
          <w:tcPr>
            <w:tcW w:w="907" w:type="pct"/>
            <w:vAlign w:val="center"/>
          </w:tcPr>
          <w:p w14:paraId="672A7CE4" w14:textId="77777777" w:rsidR="006B1708" w:rsidRPr="00FC346C" w:rsidRDefault="006B1708" w:rsidP="004720FA">
            <w:pPr>
              <w:jc w:val="center"/>
              <w:rPr>
                <w:rFonts w:ascii="Times New Roman" w:hAnsi="Times New Roman" w:cs="Times New Roman"/>
              </w:rPr>
            </w:pPr>
            <w:r w:rsidRPr="00FC346C">
              <w:rPr>
                <w:rFonts w:ascii="Times New Roman" w:hAnsi="Times New Roman" w:cs="Times New Roman"/>
              </w:rPr>
              <w:t>NR System strengthening Scheme-NRSS-XXXI (Part-A)</w:t>
            </w:r>
          </w:p>
        </w:tc>
        <w:tc>
          <w:tcPr>
            <w:tcW w:w="487" w:type="pct"/>
            <w:vAlign w:val="center"/>
          </w:tcPr>
          <w:p w14:paraId="64062C17"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PGCIL</w:t>
            </w:r>
          </w:p>
        </w:tc>
        <w:tc>
          <w:tcPr>
            <w:tcW w:w="626" w:type="pct"/>
            <w:vAlign w:val="center"/>
          </w:tcPr>
          <w:p w14:paraId="5BD65275"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225.00</w:t>
            </w:r>
          </w:p>
        </w:tc>
        <w:tc>
          <w:tcPr>
            <w:tcW w:w="418" w:type="pct"/>
            <w:vAlign w:val="center"/>
          </w:tcPr>
          <w:p w14:paraId="4826461E"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59.40</w:t>
            </w:r>
          </w:p>
        </w:tc>
        <w:tc>
          <w:tcPr>
            <w:tcW w:w="487" w:type="pct"/>
            <w:vAlign w:val="center"/>
          </w:tcPr>
          <w:p w14:paraId="7F5CD126"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69.60</w:t>
            </w:r>
          </w:p>
        </w:tc>
        <w:tc>
          <w:tcPr>
            <w:tcW w:w="558" w:type="pct"/>
            <w:vAlign w:val="center"/>
          </w:tcPr>
          <w:p w14:paraId="26D0A05C"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10.20</w:t>
            </w:r>
          </w:p>
        </w:tc>
        <w:tc>
          <w:tcPr>
            <w:tcW w:w="474" w:type="pct"/>
            <w:vAlign w:val="center"/>
          </w:tcPr>
          <w:p w14:paraId="2CA49F26"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14.66%</w:t>
            </w:r>
          </w:p>
        </w:tc>
      </w:tr>
      <w:tr w:rsidR="006B1708" w:rsidRPr="00FC346C" w14:paraId="0597DA85" w14:textId="77777777" w:rsidTr="006B1708">
        <w:tc>
          <w:tcPr>
            <w:tcW w:w="272" w:type="pct"/>
            <w:vAlign w:val="center"/>
          </w:tcPr>
          <w:p w14:paraId="64C3F42E" w14:textId="77777777" w:rsidR="006B1708" w:rsidRPr="00FC346C" w:rsidRDefault="006B1708" w:rsidP="004720FA">
            <w:pPr>
              <w:spacing w:line="360" w:lineRule="auto"/>
              <w:jc w:val="center"/>
              <w:rPr>
                <w:rFonts w:ascii="Times New Roman" w:hAnsi="Times New Roman" w:cs="Times New Roman"/>
              </w:rPr>
            </w:pPr>
            <w:r w:rsidRPr="00FC346C">
              <w:rPr>
                <w:rFonts w:ascii="Times New Roman" w:hAnsi="Times New Roman" w:cs="Times New Roman"/>
              </w:rPr>
              <w:t>40</w:t>
            </w:r>
          </w:p>
        </w:tc>
        <w:tc>
          <w:tcPr>
            <w:tcW w:w="771" w:type="pct"/>
            <w:vAlign w:val="center"/>
          </w:tcPr>
          <w:p w14:paraId="4C7B622D" w14:textId="77777777" w:rsidR="006B1708" w:rsidRPr="00FC346C" w:rsidRDefault="006B1708" w:rsidP="004720FA">
            <w:pPr>
              <w:jc w:val="center"/>
              <w:rPr>
                <w:rFonts w:ascii="Times New Roman" w:hAnsi="Times New Roman" w:cs="Times New Roman"/>
              </w:rPr>
            </w:pPr>
            <w:proofErr w:type="spellStart"/>
            <w:r w:rsidRPr="00FC346C">
              <w:rPr>
                <w:rFonts w:ascii="Times New Roman" w:hAnsi="Times New Roman" w:cs="Times New Roman"/>
              </w:rPr>
              <w:t>Powergrid</w:t>
            </w:r>
            <w:proofErr w:type="spellEnd"/>
            <w:r w:rsidRPr="00FC346C">
              <w:rPr>
                <w:rFonts w:ascii="Times New Roman" w:hAnsi="Times New Roman" w:cs="Times New Roman"/>
              </w:rPr>
              <w:t xml:space="preserve"> </w:t>
            </w:r>
            <w:proofErr w:type="spellStart"/>
            <w:r w:rsidRPr="00FC346C">
              <w:rPr>
                <w:rFonts w:ascii="Times New Roman" w:hAnsi="Times New Roman" w:cs="Times New Roman"/>
              </w:rPr>
              <w:t>Unchhahar</w:t>
            </w:r>
            <w:proofErr w:type="spellEnd"/>
            <w:r w:rsidRPr="00FC346C">
              <w:rPr>
                <w:rFonts w:ascii="Times New Roman" w:hAnsi="Times New Roman" w:cs="Times New Roman"/>
              </w:rPr>
              <w:t xml:space="preserve"> Transmission Limited</w:t>
            </w:r>
          </w:p>
        </w:tc>
        <w:tc>
          <w:tcPr>
            <w:tcW w:w="907" w:type="pct"/>
            <w:vAlign w:val="center"/>
          </w:tcPr>
          <w:p w14:paraId="34722D8B" w14:textId="77777777" w:rsidR="006B1708" w:rsidRPr="00FC346C" w:rsidRDefault="006B1708" w:rsidP="004720FA">
            <w:pPr>
              <w:jc w:val="center"/>
              <w:rPr>
                <w:rFonts w:ascii="Times New Roman" w:hAnsi="Times New Roman" w:cs="Times New Roman"/>
              </w:rPr>
            </w:pPr>
            <w:r w:rsidRPr="00FC346C">
              <w:rPr>
                <w:rFonts w:ascii="Times New Roman" w:hAnsi="Times New Roman" w:cs="Times New Roman"/>
              </w:rPr>
              <w:t xml:space="preserve">ATS of </w:t>
            </w:r>
            <w:proofErr w:type="spellStart"/>
            <w:r w:rsidRPr="00FC346C">
              <w:rPr>
                <w:rFonts w:ascii="Times New Roman" w:hAnsi="Times New Roman" w:cs="Times New Roman"/>
              </w:rPr>
              <w:t>Unchahar</w:t>
            </w:r>
            <w:proofErr w:type="spellEnd"/>
            <w:r w:rsidRPr="00FC346C">
              <w:rPr>
                <w:rFonts w:ascii="Times New Roman" w:hAnsi="Times New Roman" w:cs="Times New Roman"/>
              </w:rPr>
              <w:t xml:space="preserve"> TPS</w:t>
            </w:r>
          </w:p>
        </w:tc>
        <w:tc>
          <w:tcPr>
            <w:tcW w:w="487" w:type="pct"/>
            <w:vAlign w:val="center"/>
          </w:tcPr>
          <w:p w14:paraId="1B49F521"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PGCIL</w:t>
            </w:r>
          </w:p>
        </w:tc>
        <w:tc>
          <w:tcPr>
            <w:tcW w:w="626" w:type="pct"/>
            <w:vAlign w:val="center"/>
          </w:tcPr>
          <w:p w14:paraId="7F4DBF56"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70.00</w:t>
            </w:r>
          </w:p>
        </w:tc>
        <w:tc>
          <w:tcPr>
            <w:tcW w:w="418" w:type="pct"/>
            <w:vAlign w:val="center"/>
          </w:tcPr>
          <w:p w14:paraId="64B249F7"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16.80</w:t>
            </w:r>
          </w:p>
        </w:tc>
        <w:tc>
          <w:tcPr>
            <w:tcW w:w="487" w:type="pct"/>
            <w:vAlign w:val="center"/>
          </w:tcPr>
          <w:p w14:paraId="26CC6F29"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19.10</w:t>
            </w:r>
          </w:p>
        </w:tc>
        <w:tc>
          <w:tcPr>
            <w:tcW w:w="558" w:type="pct"/>
            <w:vAlign w:val="center"/>
          </w:tcPr>
          <w:p w14:paraId="0BD136FD"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2.30</w:t>
            </w:r>
          </w:p>
        </w:tc>
        <w:tc>
          <w:tcPr>
            <w:tcW w:w="474" w:type="pct"/>
            <w:vAlign w:val="center"/>
          </w:tcPr>
          <w:p w14:paraId="74373923" w14:textId="77777777" w:rsidR="006B1708" w:rsidRPr="00FC346C" w:rsidRDefault="006B1708" w:rsidP="004720FA">
            <w:pPr>
              <w:jc w:val="center"/>
              <w:rPr>
                <w:rFonts w:ascii="Times New Roman" w:hAnsi="Times New Roman" w:cs="Times New Roman"/>
                <w:color w:val="000000"/>
              </w:rPr>
            </w:pPr>
            <w:r w:rsidRPr="00FC346C">
              <w:rPr>
                <w:rFonts w:ascii="Times New Roman" w:hAnsi="Times New Roman" w:cs="Times New Roman"/>
                <w:color w:val="000000"/>
              </w:rPr>
              <w:t>12.04%</w:t>
            </w:r>
          </w:p>
        </w:tc>
      </w:tr>
      <w:tr w:rsidR="006B1708" w:rsidRPr="00FC346C" w14:paraId="754E5673" w14:textId="09A12B8F" w:rsidTr="006B1708">
        <w:tc>
          <w:tcPr>
            <w:tcW w:w="5000" w:type="pct"/>
            <w:gridSpan w:val="9"/>
            <w:vAlign w:val="center"/>
          </w:tcPr>
          <w:p w14:paraId="2DA6DBE3" w14:textId="77777777" w:rsidR="006B1708" w:rsidRPr="00FC346C" w:rsidRDefault="006B1708" w:rsidP="004720FA">
            <w:pPr>
              <w:jc w:val="center"/>
              <w:rPr>
                <w:rFonts w:ascii="Times New Roman" w:hAnsi="Times New Roman" w:cs="Times New Roman"/>
                <w:color w:val="000000"/>
                <w:sz w:val="36"/>
                <w:szCs w:val="36"/>
              </w:rPr>
            </w:pPr>
            <w:r w:rsidRPr="00FC346C">
              <w:rPr>
                <w:rFonts w:ascii="Times New Roman" w:hAnsi="Times New Roman" w:cs="Times New Roman"/>
                <w:b/>
                <w:color w:val="000000"/>
                <w:sz w:val="36"/>
                <w:szCs w:val="36"/>
              </w:rPr>
              <w:t>Overall tariff reduction of 40.15 %</w:t>
            </w:r>
          </w:p>
        </w:tc>
      </w:tr>
    </w:tbl>
    <w:p w14:paraId="79292E32" w14:textId="77777777" w:rsidR="003C2A80" w:rsidRDefault="003C2A80" w:rsidP="003C2A80">
      <w:pPr>
        <w:spacing w:after="0" w:line="360" w:lineRule="auto"/>
        <w:rPr>
          <w:rFonts w:ascii="Times New Roman" w:hAnsi="Times New Roman" w:cs="Times New Roman"/>
          <w:sz w:val="23"/>
          <w:szCs w:val="23"/>
          <w:lang w:val="en-US"/>
        </w:rPr>
      </w:pPr>
    </w:p>
    <w:p w14:paraId="337238F4" w14:textId="77777777" w:rsidR="003C2A80" w:rsidRDefault="003C2A80" w:rsidP="003C2A80">
      <w:pPr>
        <w:spacing w:after="0" w:line="360" w:lineRule="auto"/>
        <w:rPr>
          <w:rFonts w:ascii="Times New Roman" w:hAnsi="Times New Roman" w:cs="Times New Roman"/>
          <w:sz w:val="23"/>
          <w:szCs w:val="23"/>
          <w:lang w:val="en-US"/>
        </w:rPr>
      </w:pPr>
    </w:p>
    <w:p w14:paraId="526753C2" w14:textId="77777777" w:rsidR="003C2A80" w:rsidRDefault="003C2A80" w:rsidP="003C2A80">
      <w:pPr>
        <w:spacing w:after="0" w:line="360" w:lineRule="auto"/>
        <w:rPr>
          <w:rFonts w:ascii="Times New Roman" w:hAnsi="Times New Roman" w:cs="Times New Roman"/>
          <w:sz w:val="23"/>
          <w:szCs w:val="23"/>
          <w:lang w:val="en-US"/>
        </w:rPr>
      </w:pPr>
    </w:p>
    <w:p w14:paraId="1DB11A59" w14:textId="2A93E110" w:rsidR="003C2A80" w:rsidRPr="003C2A80" w:rsidRDefault="003C2A80" w:rsidP="003C2A80">
      <w:pPr>
        <w:spacing w:after="0" w:line="360" w:lineRule="auto"/>
        <w:jc w:val="both"/>
        <w:rPr>
          <w:rFonts w:ascii="Times New Roman" w:hAnsi="Times New Roman" w:cs="Times New Roman"/>
          <w:sz w:val="23"/>
          <w:szCs w:val="23"/>
          <w:lang w:val="en-US"/>
        </w:rPr>
      </w:pPr>
      <w:r>
        <w:rPr>
          <w:rFonts w:ascii="Times New Roman" w:hAnsi="Times New Roman" w:cs="Times New Roman"/>
          <w:sz w:val="23"/>
          <w:szCs w:val="23"/>
          <w:lang w:val="en-US"/>
        </w:rPr>
        <w:t>*Serial Numbers in the aforesaid tabulation do not correspond to the Scheme Numbers in the graphical representation.</w:t>
      </w:r>
    </w:p>
    <w:sectPr w:rsidR="003C2A80" w:rsidRPr="003C2A80" w:rsidSect="001260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282BE" w14:textId="77777777" w:rsidR="004672B7" w:rsidRDefault="004672B7" w:rsidP="00AE7E0B">
      <w:pPr>
        <w:spacing w:after="0" w:line="240" w:lineRule="auto"/>
      </w:pPr>
      <w:r>
        <w:separator/>
      </w:r>
    </w:p>
  </w:endnote>
  <w:endnote w:type="continuationSeparator" w:id="0">
    <w:p w14:paraId="24FC38B5" w14:textId="77777777" w:rsidR="004672B7" w:rsidRDefault="004672B7" w:rsidP="00AE7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bCs/>
      </w:rPr>
      <w:id w:val="1587886008"/>
      <w:docPartObj>
        <w:docPartGallery w:val="Page Numbers (Bottom of Page)"/>
        <w:docPartUnique/>
      </w:docPartObj>
    </w:sdtPr>
    <w:sdtEndPr>
      <w:rPr>
        <w:noProof/>
      </w:rPr>
    </w:sdtEndPr>
    <w:sdtContent>
      <w:p w14:paraId="1AA0C466" w14:textId="5939D0C1" w:rsidR="00C422ED" w:rsidRPr="00C422ED" w:rsidRDefault="00C422ED">
        <w:pPr>
          <w:pStyle w:val="Footer"/>
          <w:jc w:val="center"/>
          <w:rPr>
            <w:rFonts w:ascii="Times New Roman" w:hAnsi="Times New Roman" w:cs="Times New Roman"/>
            <w:b/>
            <w:bCs/>
          </w:rPr>
        </w:pPr>
        <w:r w:rsidRPr="00C422ED">
          <w:rPr>
            <w:rFonts w:ascii="Times New Roman" w:hAnsi="Times New Roman" w:cs="Times New Roman"/>
            <w:b/>
            <w:bCs/>
          </w:rPr>
          <w:fldChar w:fldCharType="begin"/>
        </w:r>
        <w:r w:rsidRPr="00C422ED">
          <w:rPr>
            <w:rFonts w:ascii="Times New Roman" w:hAnsi="Times New Roman" w:cs="Times New Roman"/>
            <w:b/>
            <w:bCs/>
          </w:rPr>
          <w:instrText xml:space="preserve"> PAGE   \* MERGEFORMAT </w:instrText>
        </w:r>
        <w:r w:rsidRPr="00C422ED">
          <w:rPr>
            <w:rFonts w:ascii="Times New Roman" w:hAnsi="Times New Roman" w:cs="Times New Roman"/>
            <w:b/>
            <w:bCs/>
          </w:rPr>
          <w:fldChar w:fldCharType="separate"/>
        </w:r>
        <w:r w:rsidRPr="00C422ED">
          <w:rPr>
            <w:rFonts w:ascii="Times New Roman" w:hAnsi="Times New Roman" w:cs="Times New Roman"/>
            <w:b/>
            <w:bCs/>
            <w:noProof/>
          </w:rPr>
          <w:t>2</w:t>
        </w:r>
        <w:r w:rsidRPr="00C422ED">
          <w:rPr>
            <w:rFonts w:ascii="Times New Roman" w:hAnsi="Times New Roman" w:cs="Times New Roman"/>
            <w:b/>
            <w:bCs/>
            <w:noProof/>
          </w:rPr>
          <w:fldChar w:fldCharType="end"/>
        </w:r>
      </w:p>
    </w:sdtContent>
  </w:sdt>
  <w:p w14:paraId="44A28350" w14:textId="77777777" w:rsidR="00C422ED" w:rsidRPr="00C422ED" w:rsidRDefault="00C422ED">
    <w:pPr>
      <w:pStyle w:val="Footer"/>
      <w:rPr>
        <w:rFonts w:ascii="Times New Roman" w:hAnsi="Times New Roman" w:cs="Times New Roman"/>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7CB27" w14:textId="77777777" w:rsidR="004672B7" w:rsidRDefault="004672B7" w:rsidP="00AE7E0B">
      <w:pPr>
        <w:spacing w:after="0" w:line="240" w:lineRule="auto"/>
      </w:pPr>
      <w:r>
        <w:separator/>
      </w:r>
    </w:p>
  </w:footnote>
  <w:footnote w:type="continuationSeparator" w:id="0">
    <w:p w14:paraId="153752B7" w14:textId="77777777" w:rsidR="004672B7" w:rsidRDefault="004672B7" w:rsidP="00AE7E0B">
      <w:pPr>
        <w:spacing w:after="0" w:line="240" w:lineRule="auto"/>
      </w:pPr>
      <w:r>
        <w:continuationSeparator/>
      </w:r>
    </w:p>
  </w:footnote>
  <w:footnote w:id="1">
    <w:p w14:paraId="77A1E736" w14:textId="5FC4592B" w:rsidR="000C0A65" w:rsidRPr="00E232A9" w:rsidRDefault="000C0A65" w:rsidP="00E232A9">
      <w:pPr>
        <w:pStyle w:val="FootnoteText"/>
        <w:jc w:val="both"/>
        <w:rPr>
          <w:rFonts w:ascii="Times New Roman" w:hAnsi="Times New Roman" w:cs="Times New Roman"/>
          <w:lang w:val="en-US"/>
        </w:rPr>
      </w:pPr>
      <w:r w:rsidRPr="00E232A9">
        <w:rPr>
          <w:rStyle w:val="FootnoteReference"/>
          <w:rFonts w:ascii="Times New Roman" w:hAnsi="Times New Roman" w:cs="Times New Roman"/>
        </w:rPr>
        <w:footnoteRef/>
      </w:r>
      <w:r w:rsidRPr="00E232A9">
        <w:rPr>
          <w:rFonts w:ascii="Times New Roman" w:hAnsi="Times New Roman" w:cs="Times New Roman"/>
        </w:rPr>
        <w:t xml:space="preserve"> </w:t>
      </w:r>
      <w:r w:rsidRPr="00E232A9">
        <w:rPr>
          <w:rFonts w:ascii="Times New Roman" w:hAnsi="Times New Roman" w:cs="Times New Roman"/>
          <w:lang w:val="en-US"/>
        </w:rPr>
        <w:t>National Tariff Policy, 2016, para. 5</w:t>
      </w:r>
      <w:r w:rsidR="004620D9" w:rsidRPr="00E232A9">
        <w:rPr>
          <w:rFonts w:ascii="Times New Roman" w:hAnsi="Times New Roman" w:cs="Times New Roman"/>
          <w:lang w:val="en-US"/>
        </w:rPr>
        <w:t>.11(a)</w:t>
      </w:r>
      <w:r w:rsidRPr="00E232A9">
        <w:rPr>
          <w:rFonts w:ascii="Times New Roman" w:hAnsi="Times New Roman" w:cs="Times New Roman"/>
          <w:lang w:val="en-US"/>
        </w:rPr>
        <w:t>.</w:t>
      </w:r>
    </w:p>
  </w:footnote>
  <w:footnote w:id="2">
    <w:p w14:paraId="6AE9F864" w14:textId="3D02C38E" w:rsidR="00AE7E0B" w:rsidRPr="00E232A9" w:rsidRDefault="00AE7E0B" w:rsidP="00E232A9">
      <w:pPr>
        <w:pStyle w:val="FootnoteText"/>
        <w:jc w:val="both"/>
        <w:rPr>
          <w:rFonts w:ascii="Times New Roman" w:hAnsi="Times New Roman" w:cs="Times New Roman"/>
        </w:rPr>
      </w:pPr>
      <w:r w:rsidRPr="00E232A9">
        <w:rPr>
          <w:rStyle w:val="FootnoteReference"/>
          <w:rFonts w:ascii="Times New Roman" w:hAnsi="Times New Roman" w:cs="Times New Roman"/>
        </w:rPr>
        <w:footnoteRef/>
      </w:r>
      <w:r w:rsidR="007967DD" w:rsidRPr="00E232A9">
        <w:rPr>
          <w:rFonts w:ascii="Times New Roman" w:hAnsi="Times New Roman" w:cs="Times New Roman"/>
        </w:rPr>
        <w:t xml:space="preserve"> </w:t>
      </w:r>
      <w:r w:rsidR="002E6C37" w:rsidRPr="00E232A9">
        <w:rPr>
          <w:rFonts w:ascii="Times New Roman" w:hAnsi="Times New Roman" w:cs="Times New Roman"/>
        </w:rPr>
        <w:t>Report titled “</w:t>
      </w:r>
      <w:r w:rsidR="002E6C37" w:rsidRPr="00E232A9">
        <w:rPr>
          <w:rFonts w:ascii="Times New Roman" w:hAnsi="Times New Roman" w:cs="Times New Roman"/>
          <w:i/>
          <w:iCs/>
        </w:rPr>
        <w:t>Analysis of Factors Impacting Retail Tariff and Measures to Address Them</w:t>
      </w:r>
      <w:r w:rsidR="002E6C37" w:rsidRPr="00E232A9">
        <w:rPr>
          <w:rFonts w:ascii="Times New Roman" w:hAnsi="Times New Roman" w:cs="Times New Roman"/>
        </w:rPr>
        <w:t>”</w:t>
      </w:r>
      <w:r w:rsidR="007967DD" w:rsidRPr="00E232A9">
        <w:rPr>
          <w:rFonts w:ascii="Times New Roman" w:hAnsi="Times New Roman" w:cs="Times New Roman"/>
        </w:rPr>
        <w:t xml:space="preserve">, </w:t>
      </w:r>
      <w:r w:rsidR="007967DD" w:rsidRPr="00E232A9">
        <w:rPr>
          <w:rFonts w:ascii="Times New Roman" w:hAnsi="Times New Roman" w:cs="Times New Roman"/>
          <w:smallCaps/>
        </w:rPr>
        <w:t>Forum of Regulators,</w:t>
      </w:r>
      <w:r w:rsidR="007967DD" w:rsidRPr="00E232A9">
        <w:rPr>
          <w:rFonts w:ascii="Times New Roman" w:hAnsi="Times New Roman" w:cs="Times New Roman"/>
        </w:rPr>
        <w:t xml:space="preserve"> April 2021</w:t>
      </w:r>
      <w:r w:rsidR="000C0A65" w:rsidRPr="00E232A9">
        <w:rPr>
          <w:rFonts w:ascii="Times New Roman" w:hAnsi="Times New Roman" w:cs="Times New Roman"/>
        </w:rPr>
        <w:t>, para. 3.2.3</w:t>
      </w:r>
      <w:r w:rsidR="007967DD" w:rsidRPr="00E232A9">
        <w:rPr>
          <w:rFonts w:ascii="Times New Roman" w:hAnsi="Times New Roman" w:cs="Times New Roman"/>
        </w:rPr>
        <w:t>.</w:t>
      </w:r>
    </w:p>
  </w:footnote>
  <w:footnote w:id="3">
    <w:p w14:paraId="19559D7A" w14:textId="77777777" w:rsidR="00751EC0" w:rsidRPr="00E232A9" w:rsidRDefault="00751EC0" w:rsidP="00751EC0">
      <w:pPr>
        <w:pStyle w:val="FootnoteText"/>
        <w:jc w:val="both"/>
        <w:rPr>
          <w:rFonts w:ascii="Times New Roman" w:hAnsi="Times New Roman" w:cs="Times New Roman"/>
          <w:lang w:val="en-US"/>
        </w:rPr>
      </w:pPr>
      <w:r w:rsidRPr="00E232A9">
        <w:rPr>
          <w:rStyle w:val="FootnoteReference"/>
          <w:rFonts w:ascii="Times New Roman" w:hAnsi="Times New Roman" w:cs="Times New Roman"/>
        </w:rPr>
        <w:footnoteRef/>
      </w:r>
      <w:r w:rsidRPr="00E232A9">
        <w:rPr>
          <w:rFonts w:ascii="Times New Roman" w:hAnsi="Times New Roman" w:cs="Times New Roman"/>
        </w:rPr>
        <w:t xml:space="preserve"> Provided that such delay should not be attributable to the generating company/ transmission licensee.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084D"/>
    <w:multiLevelType w:val="hybridMultilevel"/>
    <w:tmpl w:val="36BC23EA"/>
    <w:lvl w:ilvl="0" w:tplc="A4B2F026">
      <w:start w:val="1"/>
      <w:numFmt w:val="decimal"/>
      <w:lvlText w:val="%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2D4DA0"/>
    <w:multiLevelType w:val="hybridMultilevel"/>
    <w:tmpl w:val="FD621C4E"/>
    <w:lvl w:ilvl="0" w:tplc="B24A3C68">
      <w:start w:val="1"/>
      <w:numFmt w:val="decimal"/>
      <w:lvlText w:val="%1."/>
      <w:lvlJc w:val="left"/>
      <w:pPr>
        <w:ind w:left="360" w:hanging="360"/>
      </w:pPr>
      <w:rPr>
        <w:rFonts w:hint="default"/>
        <w:b w:val="0"/>
        <w:bCs w:val="0"/>
        <w:i w:val="0"/>
        <w:iCs w:val="0"/>
      </w:rPr>
    </w:lvl>
    <w:lvl w:ilvl="1" w:tplc="659EF89E">
      <w:start w:val="1"/>
      <w:numFmt w:val="lowerLetter"/>
      <w:lvlText w:val="%2."/>
      <w:lvlJc w:val="left"/>
      <w:pPr>
        <w:ind w:left="786" w:hanging="360"/>
      </w:pPr>
      <w:rPr>
        <w:b w:val="0"/>
        <w:bCs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E1A0667"/>
    <w:multiLevelType w:val="hybridMultilevel"/>
    <w:tmpl w:val="BD225F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813967"/>
    <w:multiLevelType w:val="hybridMultilevel"/>
    <w:tmpl w:val="36BC23EA"/>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ABC5A1E"/>
    <w:multiLevelType w:val="hybridMultilevel"/>
    <w:tmpl w:val="3D2C545A"/>
    <w:lvl w:ilvl="0" w:tplc="773E107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008785E"/>
    <w:multiLevelType w:val="hybridMultilevel"/>
    <w:tmpl w:val="5F4C7D4E"/>
    <w:lvl w:ilvl="0" w:tplc="0809000F">
      <w:start w:val="1"/>
      <w:numFmt w:val="decimal"/>
      <w:lvlText w:val="%1."/>
      <w:lvlJc w:val="left"/>
      <w:pPr>
        <w:ind w:left="360" w:hanging="360"/>
      </w:pPr>
    </w:lvl>
    <w:lvl w:ilvl="1" w:tplc="08090019">
      <w:start w:val="1"/>
      <w:numFmt w:val="lowerLetter"/>
      <w:lvlText w:val="%2."/>
      <w:lvlJc w:val="left"/>
      <w:pPr>
        <w:ind w:left="851"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6566498F"/>
    <w:multiLevelType w:val="hybridMultilevel"/>
    <w:tmpl w:val="1EE47300"/>
    <w:lvl w:ilvl="0" w:tplc="4009000F">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64B62BB4">
      <w:start w:val="1"/>
      <w:numFmt w:val="lowerRoman"/>
      <w:lvlText w:val="(%3)"/>
      <w:lvlJc w:val="left"/>
      <w:pPr>
        <w:ind w:left="3060" w:hanging="72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237593707">
    <w:abstractNumId w:val="1"/>
  </w:num>
  <w:num w:numId="2" w16cid:durableId="13610824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7908858">
    <w:abstractNumId w:val="0"/>
  </w:num>
  <w:num w:numId="4" w16cid:durableId="931933430">
    <w:abstractNumId w:val="6"/>
  </w:num>
  <w:num w:numId="5" w16cid:durableId="2057967608">
    <w:abstractNumId w:val="4"/>
  </w:num>
  <w:num w:numId="6" w16cid:durableId="1751656282">
    <w:abstractNumId w:val="2"/>
  </w:num>
  <w:num w:numId="7" w16cid:durableId="19678122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B2F"/>
    <w:rsid w:val="0000188B"/>
    <w:rsid w:val="00002DC4"/>
    <w:rsid w:val="00005D01"/>
    <w:rsid w:val="000129ED"/>
    <w:rsid w:val="00030359"/>
    <w:rsid w:val="00031F31"/>
    <w:rsid w:val="00032196"/>
    <w:rsid w:val="00033500"/>
    <w:rsid w:val="000415AD"/>
    <w:rsid w:val="00043368"/>
    <w:rsid w:val="0004577A"/>
    <w:rsid w:val="00045CC1"/>
    <w:rsid w:val="000539F4"/>
    <w:rsid w:val="00057E0D"/>
    <w:rsid w:val="00083A79"/>
    <w:rsid w:val="000918C0"/>
    <w:rsid w:val="00091FE2"/>
    <w:rsid w:val="000939F5"/>
    <w:rsid w:val="00093BFE"/>
    <w:rsid w:val="000951B2"/>
    <w:rsid w:val="000A0591"/>
    <w:rsid w:val="000A38D4"/>
    <w:rsid w:val="000C0A65"/>
    <w:rsid w:val="000D2E00"/>
    <w:rsid w:val="000D50E9"/>
    <w:rsid w:val="001260E8"/>
    <w:rsid w:val="001303F3"/>
    <w:rsid w:val="00134DB4"/>
    <w:rsid w:val="00141BDA"/>
    <w:rsid w:val="001521D9"/>
    <w:rsid w:val="00160DA1"/>
    <w:rsid w:val="00171D3F"/>
    <w:rsid w:val="00176166"/>
    <w:rsid w:val="001914FC"/>
    <w:rsid w:val="001A100D"/>
    <w:rsid w:val="001A29B6"/>
    <w:rsid w:val="001B5829"/>
    <w:rsid w:val="001C1DE2"/>
    <w:rsid w:val="001D5B1C"/>
    <w:rsid w:val="001E111C"/>
    <w:rsid w:val="001E5B9F"/>
    <w:rsid w:val="001E69E7"/>
    <w:rsid w:val="001E7DAB"/>
    <w:rsid w:val="001F2E85"/>
    <w:rsid w:val="001F3BB6"/>
    <w:rsid w:val="00214CD1"/>
    <w:rsid w:val="002160BD"/>
    <w:rsid w:val="00231571"/>
    <w:rsid w:val="00232048"/>
    <w:rsid w:val="002419AA"/>
    <w:rsid w:val="00241B2F"/>
    <w:rsid w:val="00250144"/>
    <w:rsid w:val="00253C8F"/>
    <w:rsid w:val="00254D0D"/>
    <w:rsid w:val="00255BD8"/>
    <w:rsid w:val="00262D4A"/>
    <w:rsid w:val="00263A3C"/>
    <w:rsid w:val="002661A8"/>
    <w:rsid w:val="00266AD5"/>
    <w:rsid w:val="00272416"/>
    <w:rsid w:val="002763D0"/>
    <w:rsid w:val="00276A04"/>
    <w:rsid w:val="00297539"/>
    <w:rsid w:val="002A5FE2"/>
    <w:rsid w:val="002A712B"/>
    <w:rsid w:val="002A79D0"/>
    <w:rsid w:val="002B7DE9"/>
    <w:rsid w:val="002C5BBB"/>
    <w:rsid w:val="002C7552"/>
    <w:rsid w:val="002D008F"/>
    <w:rsid w:val="002D28AB"/>
    <w:rsid w:val="002E0613"/>
    <w:rsid w:val="002E24DB"/>
    <w:rsid w:val="002E3752"/>
    <w:rsid w:val="002E6C37"/>
    <w:rsid w:val="002F4484"/>
    <w:rsid w:val="002F6650"/>
    <w:rsid w:val="00304185"/>
    <w:rsid w:val="00312489"/>
    <w:rsid w:val="003151CA"/>
    <w:rsid w:val="00321EFC"/>
    <w:rsid w:val="00326C98"/>
    <w:rsid w:val="003316B7"/>
    <w:rsid w:val="00333BC7"/>
    <w:rsid w:val="00343781"/>
    <w:rsid w:val="00352DD7"/>
    <w:rsid w:val="00365C0F"/>
    <w:rsid w:val="0037204D"/>
    <w:rsid w:val="003726A7"/>
    <w:rsid w:val="00382D2D"/>
    <w:rsid w:val="00386BC1"/>
    <w:rsid w:val="00393845"/>
    <w:rsid w:val="003A5074"/>
    <w:rsid w:val="003C2A80"/>
    <w:rsid w:val="003D1780"/>
    <w:rsid w:val="003E5CB4"/>
    <w:rsid w:val="00403CFF"/>
    <w:rsid w:val="00411ACE"/>
    <w:rsid w:val="00414483"/>
    <w:rsid w:val="004204BC"/>
    <w:rsid w:val="0042338B"/>
    <w:rsid w:val="0043196D"/>
    <w:rsid w:val="00432FE4"/>
    <w:rsid w:val="00447DFE"/>
    <w:rsid w:val="0045211A"/>
    <w:rsid w:val="0045777D"/>
    <w:rsid w:val="004620D9"/>
    <w:rsid w:val="004672B7"/>
    <w:rsid w:val="0047012C"/>
    <w:rsid w:val="00472F58"/>
    <w:rsid w:val="004732B0"/>
    <w:rsid w:val="00475258"/>
    <w:rsid w:val="00482572"/>
    <w:rsid w:val="004841F2"/>
    <w:rsid w:val="004A1E63"/>
    <w:rsid w:val="004A46E8"/>
    <w:rsid w:val="004A67D4"/>
    <w:rsid w:val="004A70CC"/>
    <w:rsid w:val="004C076B"/>
    <w:rsid w:val="004C191E"/>
    <w:rsid w:val="004C3047"/>
    <w:rsid w:val="004C7A39"/>
    <w:rsid w:val="004D12A8"/>
    <w:rsid w:val="004D14ED"/>
    <w:rsid w:val="004D29B5"/>
    <w:rsid w:val="004D5A49"/>
    <w:rsid w:val="004E3206"/>
    <w:rsid w:val="005044A1"/>
    <w:rsid w:val="0050611E"/>
    <w:rsid w:val="00507B02"/>
    <w:rsid w:val="00512A31"/>
    <w:rsid w:val="0051333B"/>
    <w:rsid w:val="005160CA"/>
    <w:rsid w:val="00516CCE"/>
    <w:rsid w:val="00546149"/>
    <w:rsid w:val="00552308"/>
    <w:rsid w:val="00557DA7"/>
    <w:rsid w:val="00565572"/>
    <w:rsid w:val="005875A0"/>
    <w:rsid w:val="00591999"/>
    <w:rsid w:val="005B14D1"/>
    <w:rsid w:val="005B1B50"/>
    <w:rsid w:val="005D4675"/>
    <w:rsid w:val="005D5A10"/>
    <w:rsid w:val="00601A85"/>
    <w:rsid w:val="00615997"/>
    <w:rsid w:val="006159AA"/>
    <w:rsid w:val="00620433"/>
    <w:rsid w:val="0062253C"/>
    <w:rsid w:val="00642D26"/>
    <w:rsid w:val="00644A6A"/>
    <w:rsid w:val="006467D8"/>
    <w:rsid w:val="0066351C"/>
    <w:rsid w:val="0067132E"/>
    <w:rsid w:val="00677FDF"/>
    <w:rsid w:val="006800DA"/>
    <w:rsid w:val="00682EFD"/>
    <w:rsid w:val="00694699"/>
    <w:rsid w:val="006B1708"/>
    <w:rsid w:val="006B3C2D"/>
    <w:rsid w:val="006B4FAA"/>
    <w:rsid w:val="006B7980"/>
    <w:rsid w:val="006C1ECA"/>
    <w:rsid w:val="006C2786"/>
    <w:rsid w:val="006C47E5"/>
    <w:rsid w:val="006C4A6B"/>
    <w:rsid w:val="006D1524"/>
    <w:rsid w:val="006D688E"/>
    <w:rsid w:val="006D6E10"/>
    <w:rsid w:val="006D6FAF"/>
    <w:rsid w:val="006E0D50"/>
    <w:rsid w:val="006E7CF9"/>
    <w:rsid w:val="006F0BCF"/>
    <w:rsid w:val="006F3A61"/>
    <w:rsid w:val="0072046E"/>
    <w:rsid w:val="00720804"/>
    <w:rsid w:val="007341DA"/>
    <w:rsid w:val="007353E0"/>
    <w:rsid w:val="00747F93"/>
    <w:rsid w:val="00751EC0"/>
    <w:rsid w:val="0075564D"/>
    <w:rsid w:val="00757B25"/>
    <w:rsid w:val="007731F5"/>
    <w:rsid w:val="0078590E"/>
    <w:rsid w:val="007907C9"/>
    <w:rsid w:val="00791245"/>
    <w:rsid w:val="00792A4F"/>
    <w:rsid w:val="007938BC"/>
    <w:rsid w:val="007967DD"/>
    <w:rsid w:val="007A040C"/>
    <w:rsid w:val="007A288B"/>
    <w:rsid w:val="007A2F40"/>
    <w:rsid w:val="007A3DB1"/>
    <w:rsid w:val="007B409F"/>
    <w:rsid w:val="007B4AD9"/>
    <w:rsid w:val="007C459B"/>
    <w:rsid w:val="007C700C"/>
    <w:rsid w:val="007E6409"/>
    <w:rsid w:val="007E69FE"/>
    <w:rsid w:val="007E7B91"/>
    <w:rsid w:val="00800982"/>
    <w:rsid w:val="008036EE"/>
    <w:rsid w:val="00807C5A"/>
    <w:rsid w:val="00812430"/>
    <w:rsid w:val="008158E1"/>
    <w:rsid w:val="00815BE8"/>
    <w:rsid w:val="00817413"/>
    <w:rsid w:val="00823DCF"/>
    <w:rsid w:val="00825AF6"/>
    <w:rsid w:val="008262B6"/>
    <w:rsid w:val="008325CB"/>
    <w:rsid w:val="00832C88"/>
    <w:rsid w:val="00842F64"/>
    <w:rsid w:val="0084423E"/>
    <w:rsid w:val="0084465F"/>
    <w:rsid w:val="00846835"/>
    <w:rsid w:val="00855A0E"/>
    <w:rsid w:val="0086387E"/>
    <w:rsid w:val="00864D6E"/>
    <w:rsid w:val="008664FB"/>
    <w:rsid w:val="008672C0"/>
    <w:rsid w:val="00871B71"/>
    <w:rsid w:val="00873616"/>
    <w:rsid w:val="00877A09"/>
    <w:rsid w:val="00896A12"/>
    <w:rsid w:val="008A1ADF"/>
    <w:rsid w:val="008A38D6"/>
    <w:rsid w:val="008C7D0B"/>
    <w:rsid w:val="008D22EA"/>
    <w:rsid w:val="008D2A01"/>
    <w:rsid w:val="008D3EF3"/>
    <w:rsid w:val="008D4FF2"/>
    <w:rsid w:val="008D65C4"/>
    <w:rsid w:val="00905AB2"/>
    <w:rsid w:val="00920DE3"/>
    <w:rsid w:val="009251A6"/>
    <w:rsid w:val="00925271"/>
    <w:rsid w:val="009333ED"/>
    <w:rsid w:val="009430CB"/>
    <w:rsid w:val="009510E7"/>
    <w:rsid w:val="0097709A"/>
    <w:rsid w:val="0099526F"/>
    <w:rsid w:val="009953DA"/>
    <w:rsid w:val="009A26F2"/>
    <w:rsid w:val="009A3C25"/>
    <w:rsid w:val="009A777A"/>
    <w:rsid w:val="009B23DA"/>
    <w:rsid w:val="009C5248"/>
    <w:rsid w:val="009D58FD"/>
    <w:rsid w:val="009E2878"/>
    <w:rsid w:val="009E4A82"/>
    <w:rsid w:val="009F07BA"/>
    <w:rsid w:val="009F1467"/>
    <w:rsid w:val="00A04F33"/>
    <w:rsid w:val="00A07046"/>
    <w:rsid w:val="00A11286"/>
    <w:rsid w:val="00A219E6"/>
    <w:rsid w:val="00A22BBF"/>
    <w:rsid w:val="00A357C1"/>
    <w:rsid w:val="00A36618"/>
    <w:rsid w:val="00A40F4F"/>
    <w:rsid w:val="00A42292"/>
    <w:rsid w:val="00A50EB5"/>
    <w:rsid w:val="00A52BE0"/>
    <w:rsid w:val="00A61D5F"/>
    <w:rsid w:val="00A6279C"/>
    <w:rsid w:val="00A65B36"/>
    <w:rsid w:val="00A9056C"/>
    <w:rsid w:val="00A92A47"/>
    <w:rsid w:val="00A95ABB"/>
    <w:rsid w:val="00AA621E"/>
    <w:rsid w:val="00AC47AD"/>
    <w:rsid w:val="00AC4F5D"/>
    <w:rsid w:val="00AD5DD7"/>
    <w:rsid w:val="00AE280C"/>
    <w:rsid w:val="00AE7E0B"/>
    <w:rsid w:val="00AF1CAE"/>
    <w:rsid w:val="00B127ED"/>
    <w:rsid w:val="00B303DB"/>
    <w:rsid w:val="00B31447"/>
    <w:rsid w:val="00B334B7"/>
    <w:rsid w:val="00B47AB3"/>
    <w:rsid w:val="00B53A53"/>
    <w:rsid w:val="00B66D26"/>
    <w:rsid w:val="00B73FAC"/>
    <w:rsid w:val="00B779F2"/>
    <w:rsid w:val="00B83593"/>
    <w:rsid w:val="00B85A40"/>
    <w:rsid w:val="00B946EC"/>
    <w:rsid w:val="00BA26C0"/>
    <w:rsid w:val="00BA3CAB"/>
    <w:rsid w:val="00BA515F"/>
    <w:rsid w:val="00BA7B4B"/>
    <w:rsid w:val="00BB6D63"/>
    <w:rsid w:val="00BC2484"/>
    <w:rsid w:val="00BD7C92"/>
    <w:rsid w:val="00BE0DC4"/>
    <w:rsid w:val="00BE39D7"/>
    <w:rsid w:val="00BE4A59"/>
    <w:rsid w:val="00BF058C"/>
    <w:rsid w:val="00BF1B9B"/>
    <w:rsid w:val="00BF7DED"/>
    <w:rsid w:val="00C01E39"/>
    <w:rsid w:val="00C028AF"/>
    <w:rsid w:val="00C0418E"/>
    <w:rsid w:val="00C0528B"/>
    <w:rsid w:val="00C1277E"/>
    <w:rsid w:val="00C12EC5"/>
    <w:rsid w:val="00C16588"/>
    <w:rsid w:val="00C368B8"/>
    <w:rsid w:val="00C37C73"/>
    <w:rsid w:val="00C422ED"/>
    <w:rsid w:val="00C4485A"/>
    <w:rsid w:val="00C56794"/>
    <w:rsid w:val="00C6108D"/>
    <w:rsid w:val="00C66377"/>
    <w:rsid w:val="00C7128C"/>
    <w:rsid w:val="00C74377"/>
    <w:rsid w:val="00C830AC"/>
    <w:rsid w:val="00C867BF"/>
    <w:rsid w:val="00C920DD"/>
    <w:rsid w:val="00C93BD5"/>
    <w:rsid w:val="00CA102B"/>
    <w:rsid w:val="00CB75B2"/>
    <w:rsid w:val="00CC1F30"/>
    <w:rsid w:val="00CD0709"/>
    <w:rsid w:val="00CD542C"/>
    <w:rsid w:val="00CE4E8C"/>
    <w:rsid w:val="00CF4273"/>
    <w:rsid w:val="00CF47C0"/>
    <w:rsid w:val="00CF5C38"/>
    <w:rsid w:val="00D007B7"/>
    <w:rsid w:val="00D1765C"/>
    <w:rsid w:val="00D20D9B"/>
    <w:rsid w:val="00D24CCF"/>
    <w:rsid w:val="00D30D79"/>
    <w:rsid w:val="00D561E7"/>
    <w:rsid w:val="00D60A56"/>
    <w:rsid w:val="00D64E25"/>
    <w:rsid w:val="00D71026"/>
    <w:rsid w:val="00D737DD"/>
    <w:rsid w:val="00D80DCC"/>
    <w:rsid w:val="00D8221C"/>
    <w:rsid w:val="00D85E11"/>
    <w:rsid w:val="00D86AC7"/>
    <w:rsid w:val="00D97528"/>
    <w:rsid w:val="00DA01E6"/>
    <w:rsid w:val="00DA12E5"/>
    <w:rsid w:val="00DB3B32"/>
    <w:rsid w:val="00DC1808"/>
    <w:rsid w:val="00DC2D1F"/>
    <w:rsid w:val="00DD6DF7"/>
    <w:rsid w:val="00DE748B"/>
    <w:rsid w:val="00DF0797"/>
    <w:rsid w:val="00DF609A"/>
    <w:rsid w:val="00DF7C05"/>
    <w:rsid w:val="00E01F6F"/>
    <w:rsid w:val="00E02AA4"/>
    <w:rsid w:val="00E04DFD"/>
    <w:rsid w:val="00E066E0"/>
    <w:rsid w:val="00E06F30"/>
    <w:rsid w:val="00E232A9"/>
    <w:rsid w:val="00E31544"/>
    <w:rsid w:val="00E356B6"/>
    <w:rsid w:val="00E357A7"/>
    <w:rsid w:val="00E55DA9"/>
    <w:rsid w:val="00E7474D"/>
    <w:rsid w:val="00E76FF3"/>
    <w:rsid w:val="00E90199"/>
    <w:rsid w:val="00E91614"/>
    <w:rsid w:val="00E9693B"/>
    <w:rsid w:val="00EA0F61"/>
    <w:rsid w:val="00EA43D9"/>
    <w:rsid w:val="00EB54F8"/>
    <w:rsid w:val="00EB5DFC"/>
    <w:rsid w:val="00ED05D1"/>
    <w:rsid w:val="00ED36FA"/>
    <w:rsid w:val="00EF1C5F"/>
    <w:rsid w:val="00EF54FB"/>
    <w:rsid w:val="00F04E93"/>
    <w:rsid w:val="00F056BB"/>
    <w:rsid w:val="00F064CA"/>
    <w:rsid w:val="00F1601D"/>
    <w:rsid w:val="00F30AF2"/>
    <w:rsid w:val="00F358BD"/>
    <w:rsid w:val="00F372CC"/>
    <w:rsid w:val="00F441B2"/>
    <w:rsid w:val="00F54670"/>
    <w:rsid w:val="00F56073"/>
    <w:rsid w:val="00F613B1"/>
    <w:rsid w:val="00F70EEC"/>
    <w:rsid w:val="00F86657"/>
    <w:rsid w:val="00FA253B"/>
    <w:rsid w:val="00FA49E3"/>
    <w:rsid w:val="00FB185D"/>
    <w:rsid w:val="00FC346C"/>
    <w:rsid w:val="00FC3A1C"/>
    <w:rsid w:val="00FC5213"/>
    <w:rsid w:val="00FC58CD"/>
    <w:rsid w:val="00FC5B0E"/>
    <w:rsid w:val="00FD37C0"/>
    <w:rsid w:val="00FE02D6"/>
    <w:rsid w:val="00FE2F0F"/>
    <w:rsid w:val="00FE6E67"/>
    <w:rsid w:val="00FF4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AAEFB"/>
  <w15:chartTrackingRefBased/>
  <w15:docId w15:val="{D106F54F-A047-401D-AE62-8D5B61C4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B0E"/>
    <w:pPr>
      <w:ind w:left="720"/>
      <w:contextualSpacing/>
    </w:pPr>
  </w:style>
  <w:style w:type="paragraph" w:styleId="FootnoteText">
    <w:name w:val="footnote text"/>
    <w:basedOn w:val="Normal"/>
    <w:link w:val="FootnoteTextChar"/>
    <w:uiPriority w:val="99"/>
    <w:semiHidden/>
    <w:unhideWhenUsed/>
    <w:rsid w:val="00AE7E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7E0B"/>
    <w:rPr>
      <w:sz w:val="20"/>
      <w:szCs w:val="20"/>
    </w:rPr>
  </w:style>
  <w:style w:type="character" w:styleId="FootnoteReference">
    <w:name w:val="footnote reference"/>
    <w:basedOn w:val="DefaultParagraphFont"/>
    <w:uiPriority w:val="99"/>
    <w:semiHidden/>
    <w:unhideWhenUsed/>
    <w:rsid w:val="00AE7E0B"/>
    <w:rPr>
      <w:vertAlign w:val="superscript"/>
    </w:rPr>
  </w:style>
  <w:style w:type="table" w:styleId="TableGrid">
    <w:name w:val="Table Grid"/>
    <w:basedOn w:val="TableNormal"/>
    <w:uiPriority w:val="39"/>
    <w:rsid w:val="007B4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22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22ED"/>
  </w:style>
  <w:style w:type="paragraph" w:styleId="Footer">
    <w:name w:val="footer"/>
    <w:basedOn w:val="Normal"/>
    <w:link w:val="FooterChar"/>
    <w:uiPriority w:val="99"/>
    <w:unhideWhenUsed/>
    <w:rsid w:val="00C422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2ED"/>
  </w:style>
  <w:style w:type="paragraph" w:customStyle="1" w:styleId="Default">
    <w:name w:val="Default"/>
    <w:rsid w:val="00CF4273"/>
    <w:pPr>
      <w:autoSpaceDE w:val="0"/>
      <w:autoSpaceDN w:val="0"/>
      <w:adjustRightInd w:val="0"/>
      <w:spacing w:after="0" w:line="240" w:lineRule="auto"/>
    </w:pPr>
    <w:rPr>
      <w:rFonts w:ascii="Book Antiqua" w:hAnsi="Book Antiqua" w:cs="Book Antiqua"/>
      <w:color w:val="000000"/>
      <w:kern w:val="0"/>
      <w:sz w:val="24"/>
      <w:szCs w:val="24"/>
      <w:lang w:val="en-IN"/>
      <w14:ligatures w14:val="none"/>
    </w:rPr>
  </w:style>
  <w:style w:type="paragraph" w:styleId="Revision">
    <w:name w:val="Revision"/>
    <w:hidden/>
    <w:uiPriority w:val="99"/>
    <w:semiHidden/>
    <w:rsid w:val="009B23DA"/>
    <w:pPr>
      <w:spacing w:after="0" w:line="240" w:lineRule="auto"/>
    </w:pPr>
  </w:style>
  <w:style w:type="character" w:styleId="CommentReference">
    <w:name w:val="annotation reference"/>
    <w:basedOn w:val="DefaultParagraphFont"/>
    <w:uiPriority w:val="99"/>
    <w:semiHidden/>
    <w:unhideWhenUsed/>
    <w:rsid w:val="00615997"/>
    <w:rPr>
      <w:sz w:val="16"/>
      <w:szCs w:val="16"/>
    </w:rPr>
  </w:style>
  <w:style w:type="paragraph" w:styleId="CommentText">
    <w:name w:val="annotation text"/>
    <w:basedOn w:val="Normal"/>
    <w:link w:val="CommentTextChar"/>
    <w:uiPriority w:val="99"/>
    <w:unhideWhenUsed/>
    <w:rsid w:val="00615997"/>
    <w:pPr>
      <w:spacing w:line="240" w:lineRule="auto"/>
    </w:pPr>
    <w:rPr>
      <w:sz w:val="20"/>
      <w:szCs w:val="20"/>
    </w:rPr>
  </w:style>
  <w:style w:type="character" w:customStyle="1" w:styleId="CommentTextChar">
    <w:name w:val="Comment Text Char"/>
    <w:basedOn w:val="DefaultParagraphFont"/>
    <w:link w:val="CommentText"/>
    <w:uiPriority w:val="99"/>
    <w:rsid w:val="00615997"/>
    <w:rPr>
      <w:sz w:val="20"/>
      <w:szCs w:val="20"/>
    </w:rPr>
  </w:style>
  <w:style w:type="paragraph" w:styleId="CommentSubject">
    <w:name w:val="annotation subject"/>
    <w:basedOn w:val="CommentText"/>
    <w:next w:val="CommentText"/>
    <w:link w:val="CommentSubjectChar"/>
    <w:uiPriority w:val="99"/>
    <w:semiHidden/>
    <w:unhideWhenUsed/>
    <w:rsid w:val="00615997"/>
    <w:rPr>
      <w:b/>
      <w:bCs/>
    </w:rPr>
  </w:style>
  <w:style w:type="character" w:customStyle="1" w:styleId="CommentSubjectChar">
    <w:name w:val="Comment Subject Char"/>
    <w:basedOn w:val="CommentTextChar"/>
    <w:link w:val="CommentSubject"/>
    <w:uiPriority w:val="99"/>
    <w:semiHidden/>
    <w:rsid w:val="006159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77957">
      <w:bodyDiv w:val="1"/>
      <w:marLeft w:val="0"/>
      <w:marRight w:val="0"/>
      <w:marTop w:val="0"/>
      <w:marBottom w:val="0"/>
      <w:divBdr>
        <w:top w:val="none" w:sz="0" w:space="0" w:color="auto"/>
        <w:left w:val="none" w:sz="0" w:space="0" w:color="auto"/>
        <w:bottom w:val="none" w:sz="0" w:space="0" w:color="auto"/>
        <w:right w:val="none" w:sz="0" w:space="0" w:color="auto"/>
      </w:divBdr>
    </w:div>
    <w:div w:id="702902562">
      <w:bodyDiv w:val="1"/>
      <w:marLeft w:val="0"/>
      <w:marRight w:val="0"/>
      <w:marTop w:val="0"/>
      <w:marBottom w:val="0"/>
      <w:divBdr>
        <w:top w:val="none" w:sz="0" w:space="0" w:color="auto"/>
        <w:left w:val="none" w:sz="0" w:space="0" w:color="auto"/>
        <w:bottom w:val="none" w:sz="0" w:space="0" w:color="auto"/>
        <w:right w:val="none" w:sz="0" w:space="0" w:color="auto"/>
      </w:divBdr>
    </w:div>
    <w:div w:id="1024483136">
      <w:bodyDiv w:val="1"/>
      <w:marLeft w:val="0"/>
      <w:marRight w:val="0"/>
      <w:marTop w:val="0"/>
      <w:marBottom w:val="0"/>
      <w:divBdr>
        <w:top w:val="none" w:sz="0" w:space="0" w:color="auto"/>
        <w:left w:val="none" w:sz="0" w:space="0" w:color="auto"/>
        <w:bottom w:val="none" w:sz="0" w:space="0" w:color="auto"/>
        <w:right w:val="none" w:sz="0" w:space="0" w:color="auto"/>
      </w:divBdr>
    </w:div>
    <w:div w:id="1122654128">
      <w:bodyDiv w:val="1"/>
      <w:marLeft w:val="0"/>
      <w:marRight w:val="0"/>
      <w:marTop w:val="0"/>
      <w:marBottom w:val="0"/>
      <w:divBdr>
        <w:top w:val="none" w:sz="0" w:space="0" w:color="auto"/>
        <w:left w:val="none" w:sz="0" w:space="0" w:color="auto"/>
        <w:bottom w:val="none" w:sz="0" w:space="0" w:color="auto"/>
        <w:right w:val="none" w:sz="0" w:space="0" w:color="auto"/>
      </w:divBdr>
    </w:div>
    <w:div w:id="133032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0D44A-DDE4-4C60-8BAD-E21FFEF8F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29</Pages>
  <Words>6873</Words>
  <Characters>39182</Characters>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2024-02-19T06:58:00Z</dcterms:created>
  <dcterms:modified xsi:type="dcterms:W3CDTF">2024-02-19T18:40:00Z</dcterms:modified>
</cp:coreProperties>
</file>